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黑体" w:hAnsi="黑体" w:eastAsia="黑体" w:cs="黑体"/>
          <w:sz w:val="44"/>
          <w:szCs w:val="44"/>
          <w:lang w:val="en-US" w:eastAsia="zh-CN"/>
        </w:rPr>
      </w:pPr>
    </w:p>
    <w:p>
      <w:pPr>
        <w:keepNext w:val="0"/>
        <w:keepLines w:val="0"/>
        <w:pageBreakBefore w:val="0"/>
        <w:widowControl w:val="0"/>
        <w:tabs>
          <w:tab w:val="left" w:pos="1776"/>
          <w:tab w:val="left" w:pos="6966"/>
        </w:tabs>
        <w:kinsoku/>
        <w:wordWrap/>
        <w:overflowPunct/>
        <w:topLinePunct w:val="0"/>
        <w:autoSpaceDE/>
        <w:autoSpaceDN/>
        <w:bidi w:val="0"/>
        <w:adjustRightInd/>
        <w:snapToGrid/>
        <w:spacing w:line="520" w:lineRule="exact"/>
        <w:textAlignment w:val="auto"/>
        <w:rPr>
          <w:rFonts w:hint="eastAsia" w:ascii="方正小标宋简体" w:hAnsi="方正小标宋简体" w:eastAsia="方正小标宋简体" w:cs="方正小标宋简体"/>
          <w:sz w:val="44"/>
          <w:szCs w:val="44"/>
        </w:rPr>
      </w:pPr>
      <w:bookmarkStart w:id="0" w:name="_Toc31398"/>
      <w:r>
        <w:rPr>
          <w:rFonts w:hint="eastAsia" w:ascii="方正小标宋简体" w:hAnsi="方正小标宋简体" w:eastAsia="方正小标宋简体" w:cs="方正小标宋简体"/>
          <w:sz w:val="44"/>
          <w:szCs w:val="44"/>
          <w:lang w:val="en-US" w:eastAsia="zh-CN"/>
        </w:rPr>
        <w:t>扎兰屯</w:t>
      </w:r>
      <w:r>
        <w:rPr>
          <w:rFonts w:hint="eastAsia" w:ascii="方正小标宋简体" w:hAnsi="方正小标宋简体" w:eastAsia="方正小标宋简体" w:cs="方正小标宋简体"/>
          <w:sz w:val="44"/>
          <w:szCs w:val="44"/>
        </w:rPr>
        <w:t>市</w:t>
      </w:r>
      <w:r>
        <w:rPr>
          <w:rFonts w:hint="eastAsia" w:ascii="方正小标宋简体" w:hAnsi="方正小标宋简体" w:eastAsia="方正小标宋简体" w:cs="方正小标宋简体"/>
          <w:sz w:val="44"/>
          <w:szCs w:val="44"/>
          <w:lang w:val="en-US" w:eastAsia="zh-CN"/>
        </w:rPr>
        <w:t>自然资源局</w:t>
      </w:r>
      <w:r>
        <w:rPr>
          <w:rFonts w:hint="eastAsia" w:ascii="方正小标宋简体" w:hAnsi="方正小标宋简体" w:eastAsia="方正小标宋简体" w:cs="方正小标宋简体"/>
          <w:sz w:val="44"/>
          <w:szCs w:val="44"/>
        </w:rPr>
        <w:t>采矿权</w:t>
      </w:r>
      <w:r>
        <w:rPr>
          <w:rFonts w:hint="eastAsia" w:ascii="方正小标宋简体" w:hAnsi="方正小标宋简体" w:eastAsia="方正小标宋简体" w:cs="方正小标宋简体"/>
          <w:sz w:val="44"/>
          <w:szCs w:val="44"/>
          <w:lang w:val="en-US" w:eastAsia="zh-CN"/>
        </w:rPr>
        <w:t>挂牌</w:t>
      </w:r>
      <w:r>
        <w:rPr>
          <w:rFonts w:hint="eastAsia" w:ascii="方正小标宋简体" w:hAnsi="方正小标宋简体" w:eastAsia="方正小标宋简体" w:cs="方正小标宋简体"/>
          <w:sz w:val="44"/>
          <w:szCs w:val="44"/>
        </w:rPr>
        <w:t>出让须知</w:t>
      </w:r>
      <w:bookmarkEnd w:id="0"/>
    </w:p>
    <w:p>
      <w:pPr>
        <w:spacing w:line="500" w:lineRule="exact"/>
        <w:jc w:val="center"/>
        <w:rPr>
          <w:rFonts w:ascii="仿宋" w:hAnsi="仿宋" w:eastAsia="仿宋" w:cs="仿宋"/>
          <w:sz w:val="30"/>
          <w:szCs w:val="30"/>
        </w:rPr>
      </w:pP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本次采矿权挂牌出让的出让人为</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市自然资源局，并具体组织实施交易活动。</w:t>
      </w:r>
    </w:p>
    <w:p>
      <w:pPr>
        <w:numPr>
          <w:ilvl w:val="0"/>
          <w:numId w:val="0"/>
        </w:numPr>
        <w:spacing w:line="500" w:lineRule="exact"/>
        <w:ind w:left="629" w:leftChars="0"/>
        <w:outlineLvl w:val="0"/>
        <w:rPr>
          <w:rFonts w:ascii="仿宋" w:hAnsi="仿宋" w:eastAsia="仿宋" w:cs="仿宋"/>
          <w:b/>
          <w:bCs/>
          <w:sz w:val="32"/>
          <w:szCs w:val="32"/>
        </w:rPr>
      </w:pPr>
      <w:bookmarkStart w:id="1" w:name="_Toc3988"/>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遵循的原则</w:t>
      </w:r>
      <w:bookmarkEnd w:id="1"/>
    </w:p>
    <w:p>
      <w:pPr>
        <w:spacing w:line="500" w:lineRule="exact"/>
        <w:ind w:firstLine="640" w:firstLineChars="200"/>
        <w:rPr>
          <w:rFonts w:ascii="仿宋" w:hAnsi="仿宋" w:eastAsia="仿宋" w:cs="仿宋"/>
          <w:sz w:val="30"/>
          <w:szCs w:val="30"/>
        </w:rPr>
      </w:pPr>
      <w:r>
        <w:rPr>
          <w:rFonts w:hint="eastAsia" w:ascii="仿宋" w:hAnsi="仿宋" w:eastAsia="仿宋" w:cs="仿宋"/>
          <w:sz w:val="32"/>
          <w:szCs w:val="32"/>
        </w:rPr>
        <w:t>采矿权挂牌出让严格遵循公开、公平、公正和诚信原则。</w:t>
      </w:r>
    </w:p>
    <w:p>
      <w:pPr>
        <w:numPr>
          <w:ilvl w:val="0"/>
          <w:numId w:val="0"/>
        </w:numPr>
        <w:spacing w:line="500" w:lineRule="exact"/>
        <w:ind w:left="629" w:leftChars="0"/>
        <w:outlineLvl w:val="0"/>
        <w:rPr>
          <w:rFonts w:ascii="仿宋" w:hAnsi="仿宋" w:eastAsia="仿宋" w:cs="仿宋"/>
          <w:b/>
          <w:bCs/>
          <w:sz w:val="32"/>
          <w:szCs w:val="32"/>
        </w:rPr>
      </w:pPr>
      <w:bookmarkStart w:id="2" w:name="_Toc31802"/>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内蒙古自治区自然资源网上交易系统挂牌出让</w:t>
      </w:r>
      <w:bookmarkEnd w:id="2"/>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本须知所称网上挂牌出让采矿权（以下简称网上挂牌出让），是指</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利用互联网作交易载体，在内蒙古自治区自然资源网上交易系统（以下简称交易系统）发布挂牌出让公告，将出让采矿权的交易条件在网上发布，并通过交易系统接受竞买人的竞买申请、报价及竞价，对根据挂牌期限截止时的交易系统报价结果或者交易系统竞价结果取得《资格审查通知书》的竞买人，进行竞买资格审查后确定竞得人的行为。</w:t>
      </w:r>
    </w:p>
    <w:p>
      <w:pPr>
        <w:numPr>
          <w:ilvl w:val="0"/>
          <w:numId w:val="0"/>
        </w:numPr>
        <w:spacing w:line="500" w:lineRule="exact"/>
        <w:ind w:left="629" w:leftChars="0"/>
        <w:outlineLvl w:val="0"/>
        <w:rPr>
          <w:rFonts w:ascii="仿宋" w:hAnsi="仿宋" w:eastAsia="仿宋" w:cs="仿宋"/>
          <w:b/>
          <w:bCs/>
          <w:sz w:val="32"/>
          <w:szCs w:val="32"/>
        </w:rPr>
      </w:pPr>
      <w:bookmarkStart w:id="3" w:name="_Toc29729"/>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挂牌公告期及竞价期</w:t>
      </w:r>
      <w:bookmarkEnd w:id="3"/>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挂牌公告期指</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市自然资源局在有关媒体公开发布采矿权挂牌出让公告的期间，挂牌公告期不少于20个工作日。公告期内</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市自然资源局依法发布出让信息、接受申请人咨询、竞买申请；申请人可向</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市自然资源局咨询公告信息，按规定提交竞买申请和交纳竞买保证金，并可自行进行现场踏勘矿区。</w:t>
      </w:r>
    </w:p>
    <w:p>
      <w:p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挂牌竞价期指</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按照挂牌出让公告规定的时间、方式组织挂牌活动的期间，挂牌竞价期不少于10个工作日。竞价期内取得《竞买资格确认书》的申请人可以按规定在交易系统进行报价和竞价。挂牌公告期、挂牌竞价期的具体时间及报名资格要求、报名资料和采矿权详细信息详见《</w:t>
      </w:r>
      <w:r>
        <w:rPr>
          <w:rFonts w:hint="eastAsia" w:ascii="仿宋" w:hAnsi="仿宋" w:eastAsia="仿宋" w:cs="仿宋"/>
          <w:sz w:val="32"/>
          <w:szCs w:val="32"/>
          <w:lang w:val="en-US" w:eastAsia="zh-CN"/>
        </w:rPr>
        <w:t>扎兰屯</w:t>
      </w:r>
      <w:r>
        <w:rPr>
          <w:rFonts w:hint="eastAsia" w:ascii="仿宋" w:hAnsi="仿宋" w:eastAsia="仿宋" w:cs="仿宋"/>
          <w:sz w:val="32"/>
          <w:szCs w:val="32"/>
        </w:rPr>
        <w:t>市挂牌出让采矿权公告》（以下简称《出让公告》）。</w:t>
      </w:r>
    </w:p>
    <w:p>
      <w:pPr>
        <w:pStyle w:val="3"/>
        <w:widowControl/>
        <w:numPr>
          <w:ilvl w:val="0"/>
          <w:numId w:val="1"/>
        </w:numPr>
        <w:shd w:val="clear" w:color="auto" w:fill="FFFFFF"/>
        <w:spacing w:line="480" w:lineRule="atLeast"/>
        <w:ind w:firstLine="645"/>
        <w:rPr>
          <w:rStyle w:val="6"/>
          <w:rFonts w:hint="eastAsia" w:ascii="仿宋" w:hAnsi="仿宋" w:eastAsia="仿宋" w:cs="仿宋"/>
          <w:b/>
          <w:bCs/>
          <w:color w:val="000000"/>
          <w:sz w:val="32"/>
          <w:szCs w:val="32"/>
          <w:shd w:val="clear" w:color="auto" w:fill="FFFFFF"/>
        </w:rPr>
      </w:pPr>
      <w:r>
        <w:rPr>
          <w:rStyle w:val="6"/>
          <w:rFonts w:hint="eastAsia" w:ascii="仿宋" w:hAnsi="仿宋" w:eastAsia="仿宋" w:cs="仿宋"/>
          <w:b/>
          <w:bCs/>
          <w:color w:val="000000"/>
          <w:sz w:val="32"/>
          <w:szCs w:val="32"/>
          <w:shd w:val="clear" w:color="auto" w:fill="FFFFFF"/>
        </w:rPr>
        <w:t>申请报名的起止时间及方式</w:t>
      </w:r>
    </w:p>
    <w:p>
      <w:pPr>
        <w:pStyle w:val="3"/>
        <w:widowControl/>
        <w:numPr>
          <w:ilvl w:val="0"/>
          <w:numId w:val="0"/>
        </w:numPr>
        <w:shd w:val="clear" w:color="auto" w:fill="FFFFFF"/>
        <w:spacing w:line="480" w:lineRule="atLeast"/>
        <w:ind w:right="0" w:rightChars="0" w:firstLine="640" w:firstLineChars="200"/>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本次采矿权挂牌出让工作将全程在互联网上交易，申请人登录内蒙古自治区自然资源网上交易系统（http://219.159.12.165:8090/trade-engine/trade/index）点击“矿权竞买”，在对应详情中浏览下载</w:t>
      </w:r>
      <w:r>
        <w:rPr>
          <w:rFonts w:hint="eastAsia" w:ascii="仿宋" w:hAnsi="仿宋" w:eastAsia="仿宋" w:cs="仿宋"/>
          <w:color w:val="000000"/>
          <w:sz w:val="32"/>
          <w:szCs w:val="32"/>
          <w:shd w:val="clear" w:color="auto" w:fill="FFFFFF"/>
          <w:lang w:eastAsia="zh-CN"/>
        </w:rPr>
        <w:t>“</w:t>
      </w:r>
      <w:r>
        <w:rPr>
          <w:rFonts w:hint="eastAsia" w:ascii="仿宋" w:hAnsi="仿宋" w:eastAsia="仿宋" w:cs="仿宋"/>
          <w:color w:val="000000"/>
          <w:sz w:val="32"/>
          <w:szCs w:val="32"/>
          <w:shd w:val="clear" w:color="auto" w:fill="FFFFFF"/>
        </w:rPr>
        <w:t>网上交易系统用户手册”。</w:t>
      </w:r>
    </w:p>
    <w:p>
      <w:pPr>
        <w:pStyle w:val="3"/>
        <w:widowControl/>
        <w:shd w:val="clear" w:color="auto" w:fill="FFFFFF"/>
        <w:spacing w:line="21" w:lineRule="atLeast"/>
        <w:ind w:firstLine="645"/>
        <w:jc w:val="both"/>
        <w:rPr>
          <w:rFonts w:hint="eastAsia" w:ascii="仿宋" w:hAnsi="仿宋" w:eastAsia="仿宋" w:cs="仿宋"/>
          <w:color w:val="000000"/>
          <w:sz w:val="32"/>
          <w:szCs w:val="32"/>
          <w:shd w:val="clear" w:color="auto" w:fill="FFFFFF"/>
          <w:lang w:val="en-US" w:eastAsia="zh-CN"/>
        </w:rPr>
      </w:pPr>
      <w:r>
        <w:rPr>
          <w:rFonts w:hint="eastAsia" w:ascii="仿宋" w:hAnsi="仿宋" w:eastAsia="仿宋" w:cs="仿宋"/>
          <w:color w:val="000000"/>
          <w:sz w:val="32"/>
          <w:szCs w:val="32"/>
          <w:shd w:val="clear" w:color="auto" w:fill="FFFFFF"/>
        </w:rPr>
        <w:t>申请报名的起止时间（公告期）：2024年10月28日9时</w:t>
      </w:r>
      <w:r>
        <w:rPr>
          <w:rFonts w:hint="eastAsia" w:ascii="仿宋" w:hAnsi="仿宋" w:eastAsia="仿宋" w:cs="仿宋"/>
          <w:color w:val="000000"/>
          <w:sz w:val="32"/>
          <w:szCs w:val="32"/>
          <w:shd w:val="clear" w:color="auto" w:fill="FFFFFF"/>
          <w:lang w:val="en-US" w:eastAsia="zh-CN"/>
        </w:rPr>
        <w:t>起</w:t>
      </w:r>
      <w:r>
        <w:rPr>
          <w:rFonts w:hint="eastAsia" w:ascii="仿宋" w:hAnsi="仿宋" w:eastAsia="仿宋" w:cs="仿宋"/>
          <w:color w:val="000000"/>
          <w:sz w:val="32"/>
          <w:szCs w:val="32"/>
          <w:shd w:val="clear" w:color="auto" w:fill="FFFFFF"/>
        </w:rPr>
        <w:t>—2024年11月22日16时</w:t>
      </w:r>
      <w:r>
        <w:rPr>
          <w:rFonts w:hint="eastAsia" w:ascii="仿宋" w:hAnsi="仿宋" w:eastAsia="仿宋" w:cs="仿宋"/>
          <w:color w:val="000000"/>
          <w:sz w:val="32"/>
          <w:szCs w:val="32"/>
          <w:shd w:val="clear" w:color="auto" w:fill="FFFFFF"/>
          <w:lang w:val="en-US" w:eastAsia="zh-CN"/>
        </w:rPr>
        <w:t>止</w:t>
      </w:r>
    </w:p>
    <w:p>
      <w:pPr>
        <w:pStyle w:val="3"/>
        <w:widowControl/>
        <w:shd w:val="clear" w:color="auto" w:fill="FFFFFF"/>
        <w:spacing w:line="21" w:lineRule="atLeast"/>
        <w:ind w:firstLine="645"/>
        <w:jc w:val="both"/>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申请报名方式：本次报名采用网上报名方式，申请人应当在2024年11月22日16时（出让公告期截止日）前，到市公共资源交易服务中心进行CA锁办理及企业诚信入库工作。首次登录交易系统的申请人需进入互认平台进行认证，按照《网上交易系统用户手册》操作流程，办理网上报名、上传报名资料及网上交纳竞买保证金（以银行到账时间为准）等工作。</w:t>
      </w:r>
    </w:p>
    <w:p>
      <w:pPr>
        <w:pStyle w:val="3"/>
        <w:widowControl/>
        <w:shd w:val="clear" w:color="auto" w:fill="FFFFFF"/>
        <w:spacing w:line="480" w:lineRule="atLeast"/>
        <w:ind w:firstLine="645"/>
        <w:rPr>
          <w:rFonts w:hint="eastAsia" w:ascii="仿宋" w:hAnsi="仿宋" w:eastAsia="仿宋" w:cs="仿宋"/>
          <w:b/>
          <w:bCs w:val="0"/>
          <w:sz w:val="32"/>
          <w:szCs w:val="32"/>
          <w:lang w:val="en-US" w:eastAsia="zh-CN"/>
        </w:rPr>
      </w:pPr>
      <w:r>
        <w:rPr>
          <w:rStyle w:val="6"/>
          <w:rFonts w:hint="eastAsia" w:ascii="仿宋" w:hAnsi="仿宋" w:eastAsia="仿宋" w:cs="仿宋"/>
          <w:b/>
          <w:bCs w:val="0"/>
          <w:color w:val="000000"/>
          <w:sz w:val="32"/>
          <w:szCs w:val="32"/>
          <w:shd w:val="clear" w:color="auto" w:fill="FFFFFF"/>
          <w:lang w:val="en-US" w:eastAsia="zh-CN"/>
        </w:rPr>
        <w:t>五、</w:t>
      </w:r>
      <w:r>
        <w:rPr>
          <w:rStyle w:val="6"/>
          <w:rFonts w:hint="eastAsia" w:ascii="仿宋" w:hAnsi="仿宋" w:eastAsia="仿宋" w:cs="仿宋"/>
          <w:b/>
          <w:bCs w:val="0"/>
          <w:color w:val="000000"/>
          <w:sz w:val="32"/>
          <w:szCs w:val="32"/>
          <w:shd w:val="clear" w:color="auto" w:fill="FFFFFF"/>
        </w:rPr>
        <w:t>出让方式及交易的时间、</w:t>
      </w:r>
      <w:r>
        <w:rPr>
          <w:rStyle w:val="6"/>
          <w:rFonts w:hint="eastAsia" w:ascii="仿宋" w:hAnsi="仿宋" w:eastAsia="仿宋" w:cs="仿宋"/>
          <w:b/>
          <w:bCs w:val="0"/>
          <w:color w:val="000000"/>
          <w:sz w:val="32"/>
          <w:szCs w:val="32"/>
          <w:shd w:val="clear" w:color="auto" w:fill="FFFFFF"/>
          <w:lang w:val="en-US" w:eastAsia="zh-CN"/>
        </w:rPr>
        <w:t>网上地址</w:t>
      </w:r>
    </w:p>
    <w:p>
      <w:pPr>
        <w:pStyle w:val="3"/>
        <w:widowControl/>
        <w:shd w:val="clear" w:color="auto" w:fill="FFFFFF"/>
        <w:spacing w:line="525"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出让方式：挂牌</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挂牌时间：2024年11月25日9时起至2024年12月6日16时止</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网上地址：内蒙古自治区自然资源网上交易系统</w:t>
      </w:r>
    </w:p>
    <w:p>
      <w:pPr>
        <w:numPr>
          <w:ilvl w:val="0"/>
          <w:numId w:val="0"/>
        </w:numPr>
        <w:spacing w:line="500" w:lineRule="exact"/>
        <w:ind w:firstLine="643" w:firstLineChars="200"/>
        <w:rPr>
          <w:rFonts w:hint="eastAsia" w:ascii="仿宋" w:hAnsi="仿宋" w:eastAsia="仿宋" w:cs="仿宋"/>
          <w:b/>
          <w:bCs/>
          <w:sz w:val="32"/>
          <w:szCs w:val="32"/>
        </w:rPr>
      </w:pPr>
      <w:r>
        <w:rPr>
          <w:rFonts w:hint="eastAsia" w:ascii="仿宋" w:hAnsi="仿宋" w:eastAsia="仿宋" w:cs="仿宋"/>
          <w:b/>
          <w:bCs/>
          <w:sz w:val="32"/>
          <w:szCs w:val="32"/>
          <w:lang w:val="en-US" w:eastAsia="zh-CN"/>
        </w:rPr>
        <w:t>六、</w:t>
      </w:r>
      <w:r>
        <w:rPr>
          <w:rFonts w:hint="eastAsia" w:ascii="仿宋" w:hAnsi="仿宋" w:eastAsia="仿宋" w:cs="仿宋"/>
          <w:b/>
          <w:bCs/>
          <w:sz w:val="32"/>
          <w:szCs w:val="32"/>
        </w:rPr>
        <w:t>竞买申请</w:t>
      </w:r>
    </w:p>
    <w:p>
      <w:pPr>
        <w:numPr>
          <w:ilvl w:val="0"/>
          <w:numId w:val="0"/>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竞买人为具有中华人民共和国独立企业法人资格。</w:t>
      </w:r>
    </w:p>
    <w:p>
      <w:pPr>
        <w:numPr>
          <w:ilvl w:val="0"/>
          <w:numId w:val="0"/>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竞买人需应具备与开</w:t>
      </w:r>
      <w:r>
        <w:rPr>
          <w:rFonts w:hint="eastAsia" w:ascii="仿宋" w:hAnsi="仿宋" w:eastAsia="仿宋" w:cs="仿宋"/>
          <w:sz w:val="32"/>
          <w:szCs w:val="32"/>
          <w:lang w:val="en-US" w:eastAsia="zh-CN"/>
        </w:rPr>
        <w:t>采相</w:t>
      </w:r>
      <w:r>
        <w:rPr>
          <w:rFonts w:hint="eastAsia" w:ascii="仿宋" w:hAnsi="仿宋" w:eastAsia="仿宋" w:cs="仿宋"/>
          <w:sz w:val="32"/>
          <w:szCs w:val="32"/>
        </w:rPr>
        <w:t>匹配的资金实力，账户资金不低于500万。</w:t>
      </w:r>
    </w:p>
    <w:p>
      <w:pPr>
        <w:numPr>
          <w:ilvl w:val="0"/>
          <w:numId w:val="0"/>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企业未被列入失信企业名单（“信用中国”网站https://www.creditchina.gov.cn/中未被列入严重违法失信行为记录名单），本次出让不接受联合竞买及失信企业分公司或股东竞买。</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申请人应当在出让公告期截止日前，到公共资源交易服务中心进行CA锁办理及入库工作，首次登陆交易系统的申请人需进入互认平台进行认证，按照《网上交易系统用户手册》操作流程，根据申请人类型，办理网上报名、网上交纳竞买保证金等工作，取得《竞买资格确认书》。</w:t>
      </w:r>
    </w:p>
    <w:p>
      <w:pPr>
        <w:numPr>
          <w:ilvl w:val="0"/>
          <w:numId w:val="0"/>
        </w:numPr>
        <w:spacing w:line="500" w:lineRule="exact"/>
        <w:ind w:left="629" w:leftChars="0"/>
        <w:outlineLvl w:val="0"/>
        <w:rPr>
          <w:rFonts w:ascii="仿宋" w:hAnsi="仿宋" w:eastAsia="仿宋" w:cs="仿宋"/>
          <w:b/>
          <w:bCs/>
          <w:sz w:val="30"/>
          <w:szCs w:val="30"/>
        </w:rPr>
      </w:pPr>
      <w:bookmarkStart w:id="4" w:name="_Toc10180"/>
      <w:r>
        <w:rPr>
          <w:rFonts w:hint="eastAsia" w:ascii="仿宋" w:hAnsi="仿宋" w:eastAsia="仿宋" w:cs="仿宋"/>
          <w:b/>
          <w:bCs/>
          <w:sz w:val="30"/>
          <w:szCs w:val="30"/>
          <w:lang w:val="en-US" w:eastAsia="zh-CN"/>
        </w:rPr>
        <w:t>七、</w:t>
      </w:r>
      <w:r>
        <w:rPr>
          <w:rFonts w:hint="eastAsia" w:ascii="仿宋" w:hAnsi="仿宋" w:eastAsia="仿宋" w:cs="仿宋"/>
          <w:b/>
          <w:bCs/>
          <w:sz w:val="30"/>
          <w:szCs w:val="30"/>
        </w:rPr>
        <w:t>竞买保证金</w:t>
      </w:r>
      <w:bookmarkEnd w:id="4"/>
      <w:r>
        <w:rPr>
          <w:rFonts w:hint="eastAsia" w:ascii="仿宋" w:hAnsi="仿宋" w:eastAsia="仿宋" w:cs="仿宋"/>
          <w:b/>
          <w:bCs/>
          <w:sz w:val="30"/>
          <w:szCs w:val="30"/>
          <w:lang w:val="en-US" w:eastAsia="zh-CN"/>
        </w:rPr>
        <w:t>及要求</w:t>
      </w:r>
    </w:p>
    <w:p>
      <w:pPr>
        <w:spacing w:line="500" w:lineRule="exact"/>
        <w:ind w:firstLine="600" w:firstLineChars="200"/>
        <w:rPr>
          <w:rFonts w:ascii="仿宋" w:hAnsi="仿宋" w:eastAsia="仿宋" w:cs="仿宋"/>
          <w:sz w:val="30"/>
          <w:szCs w:val="30"/>
        </w:rPr>
      </w:pPr>
      <w:r>
        <w:rPr>
          <w:rFonts w:hint="eastAsia" w:ascii="仿宋" w:hAnsi="仿宋" w:eastAsia="仿宋" w:cs="仿宋"/>
          <w:sz w:val="30"/>
          <w:szCs w:val="30"/>
        </w:rPr>
        <w:t>竞买人须使用CA锁登录内蒙古自治区自然资源网上交易系统（http://219.159.12.165:8090/trade-engine/trade/index），及时、足额交纳竞买保证金。</w:t>
      </w:r>
    </w:p>
    <w:p>
      <w:p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竞买申请人在交纳竞买保证金时，要考虑网络运行和银行转账的时间差，尽量提前交纳，防止系统无法及时收到信息而延误竞买。</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竞买人须在公告报名期限内缴纳竞买保证金（挂牌起始价）。竞得</w:t>
      </w:r>
      <w:r>
        <w:rPr>
          <w:rFonts w:hint="eastAsia" w:ascii="仿宋" w:hAnsi="仿宋" w:eastAsia="仿宋" w:cs="仿宋"/>
          <w:sz w:val="32"/>
          <w:szCs w:val="32"/>
          <w:lang w:val="en-US" w:eastAsia="zh-CN"/>
        </w:rPr>
        <w:t>后交纳的竞买保证金转为出让金</w:t>
      </w:r>
      <w:r>
        <w:rPr>
          <w:rFonts w:hint="eastAsia" w:ascii="仿宋" w:hAnsi="仿宋" w:eastAsia="仿宋" w:cs="仿宋"/>
          <w:sz w:val="32"/>
          <w:szCs w:val="32"/>
        </w:rPr>
        <w:t>，转结到规定的账户中。</w:t>
      </w:r>
      <w:r>
        <w:rPr>
          <w:rFonts w:hint="eastAsia" w:ascii="仿宋" w:hAnsi="仿宋" w:eastAsia="仿宋" w:cs="仿宋"/>
          <w:color w:val="000000"/>
          <w:sz w:val="32"/>
          <w:szCs w:val="32"/>
          <w:shd w:val="clear" w:color="auto" w:fill="FFFFFF"/>
        </w:rPr>
        <w:t>未竞得人交付的竞买保证金，矿业权成交后5个工作日</w:t>
      </w:r>
      <w:r>
        <w:rPr>
          <w:rFonts w:hint="eastAsia" w:ascii="仿宋" w:hAnsi="仿宋" w:eastAsia="仿宋" w:cs="仿宋"/>
          <w:sz w:val="32"/>
          <w:szCs w:val="32"/>
        </w:rPr>
        <w:t>内</w:t>
      </w:r>
      <w:r>
        <w:rPr>
          <w:rFonts w:hint="eastAsia" w:ascii="仿宋" w:hAnsi="仿宋" w:eastAsia="仿宋" w:cs="仿宋"/>
          <w:sz w:val="32"/>
          <w:szCs w:val="32"/>
          <w:lang w:val="en-US" w:eastAsia="zh-CN"/>
        </w:rPr>
        <w:t>退还原支付账户</w:t>
      </w:r>
      <w:r>
        <w:rPr>
          <w:rFonts w:hint="eastAsia" w:ascii="仿宋" w:hAnsi="仿宋" w:eastAsia="仿宋" w:cs="仿宋"/>
          <w:sz w:val="32"/>
          <w:szCs w:val="32"/>
        </w:rPr>
        <w:t>，不计利息。</w:t>
      </w:r>
    </w:p>
    <w:p>
      <w:pPr>
        <w:ind w:firstLine="640" w:firstLineChars="200"/>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本次采矿权挂牌出让活动</w:t>
      </w:r>
      <w:r>
        <w:rPr>
          <w:rFonts w:hint="eastAsia" w:ascii="仿宋" w:hAnsi="仿宋" w:eastAsia="仿宋" w:cs="仿宋"/>
          <w:color w:val="000000"/>
          <w:sz w:val="32"/>
          <w:szCs w:val="32"/>
          <w:shd w:val="clear" w:color="auto" w:fill="FFFFFF"/>
          <w:lang w:val="en-US" w:eastAsia="zh-CN"/>
        </w:rPr>
        <w:t>足额</w:t>
      </w:r>
      <w:r>
        <w:rPr>
          <w:rFonts w:hint="eastAsia" w:ascii="仿宋" w:hAnsi="仿宋" w:eastAsia="仿宋" w:cs="仿宋"/>
          <w:color w:val="000000"/>
          <w:sz w:val="32"/>
          <w:szCs w:val="32"/>
          <w:shd w:val="clear" w:color="auto" w:fill="FFFFFF"/>
        </w:rPr>
        <w:t>收取保证金，凡报名参加竞买者需交纳竞买保证金167万元。竞买人进行网上申请报名时，需按照系统提示逐步进行，</w:t>
      </w:r>
      <w:r>
        <w:rPr>
          <w:rFonts w:hint="eastAsia" w:ascii="仿宋" w:hAnsi="仿宋" w:eastAsia="仿宋" w:cs="仿宋"/>
          <w:color w:val="000000"/>
          <w:spacing w:val="-15"/>
          <w:sz w:val="32"/>
          <w:szCs w:val="32"/>
          <w:shd w:val="clear" w:color="auto" w:fill="FFFFFF"/>
        </w:rPr>
        <w:t>以最终显示报名成功为准。</w:t>
      </w:r>
    </w:p>
    <w:p>
      <w:pPr>
        <w:pStyle w:val="3"/>
        <w:widowControl/>
        <w:shd w:val="clear" w:color="auto" w:fill="FFFFFF"/>
        <w:spacing w:line="21" w:lineRule="atLeast"/>
        <w:ind w:firstLine="645"/>
        <w:jc w:val="both"/>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保证金账户信息：竞买人报名申请时内蒙古自治区自然资源网上交易系统自动生成。</w:t>
      </w:r>
    </w:p>
    <w:p>
      <w:pPr>
        <w:pStyle w:val="3"/>
        <w:widowControl/>
        <w:shd w:val="clear" w:color="auto" w:fill="FFFFFF"/>
        <w:spacing w:line="21" w:lineRule="atLeast"/>
        <w:ind w:firstLine="645"/>
        <w:jc w:val="both"/>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竞买人在采矿权竞买活动和合同签订过程中有违法违规行为的，竞买人缴交的竞买保证金全额赔偿赔付给出让人</w:t>
      </w:r>
      <w:bookmarkStart w:id="5" w:name="_Hlk180849096"/>
      <w:r>
        <w:rPr>
          <w:rFonts w:hint="eastAsia" w:ascii="仿宋" w:hAnsi="仿宋" w:eastAsia="仿宋" w:cs="仿宋"/>
          <w:color w:val="auto"/>
          <w:sz w:val="32"/>
          <w:szCs w:val="32"/>
          <w:shd w:val="clear" w:color="auto" w:fill="FFFFFF"/>
        </w:rPr>
        <w:t>或者向出让人支付相当于竞买保证金数额的违约金，并取消竞买人、</w:t>
      </w:r>
      <w:r>
        <w:rPr>
          <w:rFonts w:hint="eastAsia" w:ascii="仿宋" w:hAnsi="仿宋" w:eastAsia="仿宋" w:cs="仿宋"/>
          <w:b w:val="0"/>
          <w:bCs w:val="0"/>
          <w:color w:val="auto"/>
          <w:sz w:val="32"/>
          <w:szCs w:val="32"/>
        </w:rPr>
        <w:t>预</w:t>
      </w:r>
      <w:bookmarkStart w:id="6" w:name="_Hlk180846876"/>
      <w:r>
        <w:rPr>
          <w:rFonts w:hint="eastAsia" w:ascii="仿宋" w:hAnsi="仿宋" w:eastAsia="仿宋" w:cs="仿宋"/>
          <w:b w:val="0"/>
          <w:bCs w:val="0"/>
          <w:color w:val="auto"/>
          <w:sz w:val="32"/>
          <w:szCs w:val="32"/>
        </w:rPr>
        <w:t>竞得人</w:t>
      </w:r>
      <w:bookmarkEnd w:id="6"/>
      <w:r>
        <w:rPr>
          <w:rFonts w:hint="eastAsia" w:ascii="仿宋" w:hAnsi="仿宋" w:eastAsia="仿宋" w:cs="仿宋"/>
          <w:b w:val="0"/>
          <w:bCs w:val="0"/>
          <w:color w:val="auto"/>
          <w:sz w:val="32"/>
          <w:szCs w:val="32"/>
        </w:rPr>
        <w:t>、竞得人</w:t>
      </w:r>
      <w:r>
        <w:rPr>
          <w:rFonts w:hint="eastAsia" w:ascii="仿宋" w:hAnsi="仿宋" w:eastAsia="仿宋" w:cs="仿宋"/>
          <w:b w:val="0"/>
          <w:bCs w:val="0"/>
          <w:color w:val="auto"/>
          <w:sz w:val="32"/>
          <w:szCs w:val="32"/>
          <w:lang w:val="en-US" w:eastAsia="zh-CN"/>
        </w:rPr>
        <w:t>资格，已经签订</w:t>
      </w:r>
      <w:r>
        <w:rPr>
          <w:rFonts w:hint="eastAsia" w:ascii="仿宋" w:hAnsi="仿宋" w:eastAsia="仿宋" w:cs="仿宋"/>
          <w:b w:val="0"/>
          <w:bCs w:val="0"/>
          <w:color w:val="auto"/>
          <w:sz w:val="32"/>
          <w:szCs w:val="32"/>
        </w:rPr>
        <w:t>《</w:t>
      </w:r>
      <w:r>
        <w:rPr>
          <w:rFonts w:hint="eastAsia" w:ascii="仿宋" w:hAnsi="仿宋" w:eastAsia="仿宋" w:cs="仿宋"/>
          <w:color w:val="auto"/>
          <w:sz w:val="32"/>
          <w:szCs w:val="32"/>
          <w:shd w:val="clear" w:color="auto" w:fill="FFFFFF"/>
        </w:rPr>
        <w:t>采矿权出让合同》</w:t>
      </w:r>
      <w:r>
        <w:rPr>
          <w:rFonts w:hint="eastAsia" w:ascii="仿宋" w:hAnsi="仿宋" w:eastAsia="仿宋" w:cs="仿宋"/>
          <w:color w:val="auto"/>
          <w:sz w:val="32"/>
          <w:szCs w:val="32"/>
          <w:shd w:val="clear" w:color="auto" w:fill="FFFFFF"/>
          <w:lang w:val="en-US" w:eastAsia="zh-CN"/>
        </w:rPr>
        <w:t>予以解除</w:t>
      </w:r>
      <w:r>
        <w:rPr>
          <w:rFonts w:hint="eastAsia" w:ascii="仿宋" w:hAnsi="仿宋" w:eastAsia="仿宋" w:cs="仿宋"/>
          <w:color w:val="auto"/>
          <w:sz w:val="32"/>
          <w:szCs w:val="32"/>
          <w:shd w:val="clear" w:color="auto" w:fill="FFFFFF"/>
        </w:rPr>
        <w:t>。</w:t>
      </w:r>
      <w:bookmarkEnd w:id="5"/>
      <w:r>
        <w:rPr>
          <w:rFonts w:hint="eastAsia" w:ascii="仿宋" w:hAnsi="仿宋" w:eastAsia="仿宋" w:cs="仿宋"/>
          <w:color w:val="000000"/>
          <w:sz w:val="32"/>
          <w:szCs w:val="32"/>
          <w:shd w:val="clear" w:color="auto" w:fill="FFFFFF"/>
        </w:rPr>
        <w:t>上述违法违规行为包括但不限于以下情况：</w:t>
      </w:r>
    </w:p>
    <w:p>
      <w:pPr>
        <w:pStyle w:val="3"/>
        <w:widowControl/>
        <w:shd w:val="clear" w:color="auto" w:fill="FFFFFF"/>
        <w:spacing w:line="21" w:lineRule="atLeast"/>
        <w:ind w:firstLine="645"/>
        <w:jc w:val="both"/>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1.提交虚假材料</w:t>
      </w:r>
      <w:r>
        <w:rPr>
          <w:rFonts w:hint="eastAsia" w:ascii="仿宋" w:hAnsi="仿宋" w:eastAsia="仿宋" w:cs="仿宋"/>
          <w:color w:val="auto"/>
          <w:sz w:val="32"/>
          <w:szCs w:val="32"/>
          <w:shd w:val="clear" w:color="auto" w:fill="FFFFFF"/>
        </w:rPr>
        <w:t>或者隐瞒事实的。</w:t>
      </w:r>
    </w:p>
    <w:p>
      <w:pPr>
        <w:pStyle w:val="3"/>
        <w:widowControl/>
        <w:shd w:val="clear" w:color="auto" w:fill="FFFFFF"/>
        <w:spacing w:line="21" w:lineRule="atLeast"/>
        <w:ind w:firstLine="645"/>
        <w:jc w:val="both"/>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2.在采矿权挂牌出让公告规定的竞买有效期内撤回报价的。</w:t>
      </w:r>
    </w:p>
    <w:p>
      <w:pPr>
        <w:pStyle w:val="3"/>
        <w:widowControl/>
        <w:shd w:val="clear" w:color="auto" w:fill="FFFFFF"/>
        <w:spacing w:line="21" w:lineRule="atLeast"/>
        <w:ind w:firstLine="645"/>
        <w:jc w:val="both"/>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3.被确认为竞得人后，未按挂牌出让公告等文件要求签订《采矿权成交确认书》《</w:t>
      </w:r>
      <w:bookmarkStart w:id="7" w:name="_Hlk180846896"/>
      <w:r>
        <w:rPr>
          <w:rFonts w:hint="eastAsia" w:ascii="仿宋" w:hAnsi="仿宋" w:eastAsia="仿宋" w:cs="仿宋"/>
          <w:color w:val="000000"/>
          <w:sz w:val="32"/>
          <w:szCs w:val="32"/>
          <w:shd w:val="clear" w:color="auto" w:fill="FFFFFF"/>
        </w:rPr>
        <w:t>采矿权出让合同》</w:t>
      </w:r>
      <w:bookmarkEnd w:id="7"/>
      <w:r>
        <w:rPr>
          <w:rFonts w:hint="eastAsia" w:ascii="仿宋" w:hAnsi="仿宋" w:eastAsia="仿宋" w:cs="仿宋"/>
          <w:color w:val="000000"/>
          <w:sz w:val="32"/>
          <w:szCs w:val="32"/>
          <w:shd w:val="clear" w:color="auto" w:fill="FFFFFF"/>
        </w:rPr>
        <w:t>的。</w:t>
      </w:r>
    </w:p>
    <w:p>
      <w:pPr>
        <w:pStyle w:val="3"/>
        <w:widowControl/>
        <w:shd w:val="clear" w:color="auto" w:fill="FFFFFF"/>
        <w:spacing w:line="21" w:lineRule="atLeast"/>
        <w:ind w:firstLine="645"/>
        <w:jc w:val="both"/>
        <w:rPr>
          <w:rFonts w:hint="eastAsia" w:ascii="仿宋" w:hAnsi="仿宋" w:eastAsia="仿宋" w:cs="仿宋"/>
          <w:color w:val="auto"/>
          <w:sz w:val="32"/>
          <w:szCs w:val="32"/>
        </w:rPr>
      </w:pPr>
      <w:r>
        <w:rPr>
          <w:rFonts w:hint="eastAsia" w:ascii="仿宋" w:hAnsi="仿宋" w:eastAsia="仿宋" w:cs="仿宋"/>
          <w:color w:val="auto"/>
          <w:sz w:val="32"/>
          <w:szCs w:val="32"/>
          <w:shd w:val="clear" w:color="auto" w:fill="FFFFFF"/>
        </w:rPr>
        <w:t>4.签订《采矿权出让合同》后，未按合同约定时间及方式履行缴纳出让收益等有偿处置义务的。</w:t>
      </w:r>
    </w:p>
    <w:p>
      <w:pPr>
        <w:pStyle w:val="3"/>
        <w:widowControl/>
        <w:shd w:val="clear" w:color="auto" w:fill="FFFFFF"/>
        <w:spacing w:line="21" w:lineRule="atLeast"/>
        <w:ind w:firstLine="645"/>
        <w:jc w:val="both"/>
        <w:rPr>
          <w:rFonts w:hint="eastAsia" w:ascii="仿宋" w:hAnsi="仿宋" w:eastAsia="仿宋" w:cs="仿宋"/>
          <w:color w:val="000000"/>
          <w:sz w:val="32"/>
          <w:szCs w:val="32"/>
          <w:shd w:val="clear" w:color="auto" w:fill="FFFFFF"/>
        </w:rPr>
      </w:pPr>
      <w:r>
        <w:rPr>
          <w:rFonts w:hint="eastAsia" w:ascii="仿宋" w:hAnsi="仿宋" w:eastAsia="仿宋" w:cs="仿宋"/>
          <w:color w:val="000000"/>
          <w:sz w:val="32"/>
          <w:szCs w:val="32"/>
          <w:shd w:val="clear" w:color="auto" w:fill="FFFFFF"/>
        </w:rPr>
        <w:t>5.在竞买活动和合同签订过程中存在其他违反出让公告、双方约定和相关法律法规行为的。</w:t>
      </w:r>
      <w:bookmarkStart w:id="8" w:name="_Toc21078"/>
    </w:p>
    <w:p>
      <w:pPr>
        <w:pStyle w:val="3"/>
        <w:widowControl/>
        <w:shd w:val="clear" w:color="auto" w:fill="FFFFFF"/>
        <w:spacing w:line="21" w:lineRule="atLeast"/>
        <w:ind w:firstLine="645"/>
        <w:jc w:val="both"/>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八、</w:t>
      </w:r>
      <w:r>
        <w:rPr>
          <w:rFonts w:hint="eastAsia" w:ascii="仿宋" w:hAnsi="仿宋" w:eastAsia="仿宋" w:cs="仿宋"/>
          <w:b/>
          <w:bCs/>
          <w:sz w:val="32"/>
          <w:szCs w:val="32"/>
        </w:rPr>
        <w:t>现场踏勘</w:t>
      </w:r>
      <w:bookmarkEnd w:id="8"/>
      <w:r>
        <w:rPr>
          <w:rFonts w:hint="eastAsia" w:ascii="仿宋" w:hAnsi="仿宋" w:eastAsia="仿宋" w:cs="仿宋"/>
          <w:b/>
          <w:bCs/>
          <w:sz w:val="32"/>
          <w:szCs w:val="32"/>
          <w:lang w:val="en-US" w:eastAsia="zh-CN"/>
        </w:rPr>
        <w:t>及咨询</w:t>
      </w:r>
    </w:p>
    <w:p>
      <w:pPr>
        <w:numPr>
          <w:ilvl w:val="0"/>
          <w:numId w:val="0"/>
        </w:numPr>
        <w:spacing w:line="500" w:lineRule="exact"/>
        <w:ind w:firstLine="640" w:firstLineChars="200"/>
        <w:outlineLvl w:val="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一</w:t>
      </w:r>
      <w:r>
        <w:rPr>
          <w:rFonts w:hint="eastAsia" w:ascii="仿宋" w:hAnsi="仿宋" w:eastAsia="仿宋" w:cs="仿宋"/>
          <w:sz w:val="32"/>
          <w:szCs w:val="32"/>
          <w:lang w:eastAsia="zh-CN"/>
        </w:rPr>
        <w:t>）</w:t>
      </w:r>
      <w:r>
        <w:rPr>
          <w:rFonts w:hint="eastAsia" w:ascii="仿宋" w:hAnsi="仿宋" w:eastAsia="仿宋" w:cs="仿宋"/>
          <w:sz w:val="32"/>
          <w:szCs w:val="32"/>
        </w:rPr>
        <w:t>本次出让采矿权，不组织现场踏勘，在挂牌公告期截止前的任何时间，申请人均可自行对采矿权进行现场踏勘，费用由申请人自己承担。同时申请人在进行现场踏勘时所造成的一切人身伤害及财产损失</w:t>
      </w:r>
      <w:r>
        <w:rPr>
          <w:rFonts w:hint="eastAsia" w:ascii="仿宋" w:hAnsi="仿宋" w:eastAsia="仿宋" w:cs="仿宋"/>
          <w:sz w:val="32"/>
          <w:szCs w:val="32"/>
          <w:highlight w:val="none"/>
        </w:rPr>
        <w:t>应</w:t>
      </w:r>
      <w:r>
        <w:rPr>
          <w:rFonts w:hint="eastAsia" w:ascii="仿宋" w:hAnsi="仿宋" w:eastAsia="仿宋" w:cs="仿宋"/>
          <w:sz w:val="32"/>
          <w:szCs w:val="32"/>
        </w:rPr>
        <w:t>自行承担。</w:t>
      </w:r>
    </w:p>
    <w:p>
      <w:pPr>
        <w:numPr>
          <w:ilvl w:val="0"/>
          <w:numId w:val="0"/>
        </w:numPr>
        <w:tabs>
          <w:tab w:val="left" w:pos="1446"/>
        </w:tabs>
        <w:spacing w:line="50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二</w:t>
      </w:r>
      <w:r>
        <w:rPr>
          <w:rFonts w:hint="eastAsia" w:ascii="仿宋" w:hAnsi="仿宋" w:eastAsia="仿宋" w:cs="仿宋"/>
          <w:sz w:val="32"/>
          <w:szCs w:val="32"/>
          <w:lang w:eastAsia="zh-CN"/>
        </w:rPr>
        <w:t>）</w:t>
      </w:r>
      <w:r>
        <w:rPr>
          <w:rFonts w:hint="eastAsia" w:ascii="仿宋" w:hAnsi="仿宋" w:eastAsia="仿宋" w:cs="仿宋"/>
          <w:sz w:val="32"/>
          <w:szCs w:val="32"/>
        </w:rPr>
        <w:t>挂牌出让的咨询分为提交问题和答复问题两个阶段。   申请人在申请竞买前，对《挂牌</w:t>
      </w:r>
      <w:r>
        <w:rPr>
          <w:rFonts w:hint="eastAsia" w:ascii="仿宋" w:hAnsi="仿宋" w:eastAsia="仿宋" w:cs="仿宋"/>
          <w:sz w:val="32"/>
          <w:szCs w:val="32"/>
          <w:lang w:val="en-US" w:eastAsia="zh-CN"/>
        </w:rPr>
        <w:t>须知</w:t>
      </w:r>
      <w:r>
        <w:rPr>
          <w:rFonts w:hint="eastAsia" w:ascii="仿宋" w:hAnsi="仿宋" w:eastAsia="仿宋" w:cs="仿宋"/>
          <w:sz w:val="32"/>
          <w:szCs w:val="32"/>
        </w:rPr>
        <w:t>》</w:t>
      </w:r>
      <w:r>
        <w:rPr>
          <w:rFonts w:hint="eastAsia" w:ascii="仿宋" w:hAnsi="仿宋" w:eastAsia="仿宋" w:cs="仿宋"/>
          <w:sz w:val="32"/>
          <w:szCs w:val="32"/>
          <w:lang w:val="en-US" w:eastAsia="zh-CN"/>
        </w:rPr>
        <w:t>和《挂牌公告》</w:t>
      </w:r>
      <w:r>
        <w:rPr>
          <w:rFonts w:hint="eastAsia" w:ascii="仿宋" w:hAnsi="仿宋" w:eastAsia="仿宋" w:cs="仿宋"/>
          <w:sz w:val="32"/>
          <w:szCs w:val="32"/>
        </w:rPr>
        <w:t>有疑问或对采矿权现状有异议的，应当以书面形式向</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市自然资源局咨询；申请人提出竞买申请</w:t>
      </w:r>
      <w:r>
        <w:rPr>
          <w:rFonts w:hint="eastAsia" w:ascii="仿宋" w:hAnsi="仿宋" w:eastAsia="仿宋" w:cs="仿宋"/>
          <w:sz w:val="32"/>
          <w:szCs w:val="32"/>
          <w:lang w:eastAsia="zh-CN"/>
        </w:rPr>
        <w:t>，</w:t>
      </w:r>
      <w:r>
        <w:rPr>
          <w:rFonts w:hint="eastAsia" w:ascii="仿宋" w:hAnsi="仿宋" w:eastAsia="仿宋" w:cs="仿宋"/>
          <w:sz w:val="32"/>
          <w:szCs w:val="32"/>
        </w:rPr>
        <w:t>视为对</w:t>
      </w:r>
      <w:r>
        <w:rPr>
          <w:rFonts w:hint="eastAsia" w:ascii="仿宋" w:hAnsi="仿宋" w:eastAsia="仿宋" w:cs="仿宋"/>
          <w:sz w:val="32"/>
          <w:szCs w:val="32"/>
          <w:highlight w:val="none"/>
          <w:lang w:val="en-US" w:eastAsia="zh-CN"/>
        </w:rPr>
        <w:t>采矿权</w:t>
      </w:r>
      <w:r>
        <w:rPr>
          <w:rFonts w:hint="eastAsia" w:ascii="仿宋" w:hAnsi="仿宋" w:eastAsia="仿宋" w:cs="仿宋"/>
          <w:sz w:val="32"/>
          <w:szCs w:val="32"/>
        </w:rPr>
        <w:t>条件</w:t>
      </w:r>
      <w:r>
        <w:rPr>
          <w:rFonts w:hint="eastAsia" w:ascii="仿宋" w:hAnsi="仿宋" w:eastAsia="仿宋" w:cs="仿宋"/>
          <w:sz w:val="32"/>
          <w:szCs w:val="32"/>
          <w:lang w:val="en-US" w:eastAsia="zh-CN"/>
        </w:rPr>
        <w:t>、采矿权挂牌出让须知及采矿权挂牌公告</w:t>
      </w:r>
      <w:r>
        <w:rPr>
          <w:rFonts w:hint="eastAsia" w:ascii="仿宋" w:hAnsi="仿宋" w:eastAsia="仿宋" w:cs="仿宋"/>
          <w:sz w:val="32"/>
          <w:szCs w:val="32"/>
        </w:rPr>
        <w:t>无异议</w:t>
      </w:r>
      <w:r>
        <w:rPr>
          <w:rFonts w:hint="eastAsia" w:ascii="仿宋" w:hAnsi="仿宋" w:eastAsia="仿宋" w:cs="仿宋"/>
          <w:sz w:val="32"/>
          <w:szCs w:val="32"/>
          <w:lang w:eastAsia="zh-CN"/>
        </w:rPr>
        <w:t>。</w:t>
      </w:r>
    </w:p>
    <w:p>
      <w:p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市自然资源局负责对申请人提出的疑问作出书面答复，答复时间详见《出让公告》。</w:t>
      </w:r>
    </w:p>
    <w:p>
      <w:pPr>
        <w:numPr>
          <w:ilvl w:val="0"/>
          <w:numId w:val="0"/>
        </w:numPr>
        <w:spacing w:line="500" w:lineRule="exact"/>
        <w:ind w:firstLine="643" w:firstLineChars="200"/>
        <w:outlineLvl w:val="0"/>
        <w:rPr>
          <w:rFonts w:ascii="仿宋" w:hAnsi="仿宋" w:eastAsia="仿宋" w:cs="仿宋"/>
          <w:b/>
          <w:bCs/>
          <w:sz w:val="32"/>
          <w:szCs w:val="32"/>
        </w:rPr>
      </w:pPr>
      <w:bookmarkStart w:id="9" w:name="_Toc8466"/>
      <w:r>
        <w:rPr>
          <w:rFonts w:hint="eastAsia" w:ascii="仿宋" w:hAnsi="仿宋" w:eastAsia="仿宋" w:cs="仿宋"/>
          <w:b/>
          <w:bCs/>
          <w:sz w:val="32"/>
          <w:szCs w:val="32"/>
          <w:lang w:val="en-US" w:eastAsia="zh-CN"/>
        </w:rPr>
        <w:t>九、</w:t>
      </w:r>
      <w:r>
        <w:rPr>
          <w:rFonts w:hint="eastAsia" w:ascii="仿宋" w:hAnsi="仿宋" w:eastAsia="仿宋" w:cs="仿宋"/>
          <w:b/>
          <w:bCs/>
          <w:sz w:val="32"/>
          <w:szCs w:val="32"/>
        </w:rPr>
        <w:t>公告更正</w:t>
      </w:r>
      <w:bookmarkEnd w:id="9"/>
    </w:p>
    <w:p>
      <w:pPr>
        <w:spacing w:line="500" w:lineRule="exact"/>
        <w:ind w:firstLine="600" w:firstLineChars="200"/>
        <w:rPr>
          <w:rFonts w:ascii="仿宋" w:hAnsi="仿宋" w:eastAsia="仿宋" w:cs="仿宋"/>
          <w:sz w:val="30"/>
          <w:szCs w:val="30"/>
        </w:rPr>
      </w:pPr>
      <w:r>
        <w:rPr>
          <w:rFonts w:hint="eastAsia" w:ascii="仿宋" w:hAnsi="仿宋" w:eastAsia="仿宋" w:cs="仿宋"/>
          <w:sz w:val="30"/>
          <w:szCs w:val="30"/>
          <w:lang w:val="en-US" w:eastAsia="zh-CN"/>
        </w:rPr>
        <w:t>扎兰屯</w:t>
      </w:r>
      <w:r>
        <w:rPr>
          <w:rFonts w:hint="eastAsia" w:ascii="仿宋" w:hAnsi="仿宋" w:eastAsia="仿宋" w:cs="仿宋"/>
          <w:sz w:val="30"/>
          <w:szCs w:val="30"/>
        </w:rPr>
        <w:t>市自然资源局认为需要对《挂牌</w:t>
      </w:r>
      <w:r>
        <w:rPr>
          <w:rFonts w:hint="eastAsia" w:ascii="仿宋" w:hAnsi="仿宋" w:eastAsia="仿宋" w:cs="仿宋"/>
          <w:sz w:val="30"/>
          <w:szCs w:val="30"/>
          <w:lang w:val="en-US" w:eastAsia="zh-CN"/>
        </w:rPr>
        <w:t>须知</w:t>
      </w:r>
      <w:r>
        <w:rPr>
          <w:rFonts w:hint="eastAsia" w:ascii="仿宋" w:hAnsi="仿宋" w:eastAsia="仿宋" w:cs="仿宋"/>
          <w:sz w:val="30"/>
          <w:szCs w:val="30"/>
        </w:rPr>
        <w:t>》《出让公告》等做出变更或补充时，将在原发布渠道发布补充公告。补充公告与原《挂牌</w:t>
      </w:r>
      <w:r>
        <w:rPr>
          <w:rFonts w:hint="eastAsia" w:ascii="仿宋" w:hAnsi="仿宋" w:eastAsia="仿宋" w:cs="仿宋"/>
          <w:sz w:val="30"/>
          <w:szCs w:val="30"/>
          <w:lang w:val="en-US" w:eastAsia="zh-CN"/>
        </w:rPr>
        <w:t>须知</w:t>
      </w:r>
      <w:r>
        <w:rPr>
          <w:rFonts w:hint="eastAsia" w:ascii="仿宋" w:hAnsi="仿宋" w:eastAsia="仿宋" w:cs="仿宋"/>
          <w:sz w:val="30"/>
          <w:szCs w:val="30"/>
        </w:rPr>
        <w:t>》和《出让公告》等不一致的，以变更、补充公告为准。</w:t>
      </w:r>
    </w:p>
    <w:p>
      <w:pPr>
        <w:numPr>
          <w:ilvl w:val="0"/>
          <w:numId w:val="0"/>
        </w:numPr>
        <w:spacing w:line="500" w:lineRule="exact"/>
        <w:ind w:left="629" w:leftChars="0"/>
        <w:outlineLvl w:val="0"/>
        <w:rPr>
          <w:rFonts w:ascii="仿宋" w:hAnsi="仿宋" w:eastAsia="仿宋" w:cs="仿宋"/>
          <w:b/>
          <w:bCs/>
          <w:sz w:val="32"/>
          <w:szCs w:val="32"/>
        </w:rPr>
      </w:pPr>
      <w:bookmarkStart w:id="10" w:name="_Toc7160"/>
      <w:r>
        <w:rPr>
          <w:rFonts w:hint="eastAsia" w:ascii="仿宋" w:hAnsi="仿宋" w:eastAsia="仿宋" w:cs="仿宋"/>
          <w:b/>
          <w:bCs/>
          <w:sz w:val="32"/>
          <w:szCs w:val="32"/>
          <w:lang w:val="en-US" w:eastAsia="zh-CN"/>
        </w:rPr>
        <w:t>十、</w:t>
      </w:r>
      <w:r>
        <w:rPr>
          <w:rFonts w:hint="eastAsia" w:ascii="仿宋" w:hAnsi="仿宋" w:eastAsia="仿宋" w:cs="仿宋"/>
          <w:b/>
          <w:bCs/>
          <w:sz w:val="32"/>
          <w:szCs w:val="32"/>
        </w:rPr>
        <w:t>挂牌出让程序</w:t>
      </w:r>
      <w:bookmarkEnd w:id="10"/>
    </w:p>
    <w:p>
      <w:pPr>
        <w:numPr>
          <w:ilvl w:val="0"/>
          <w:numId w:val="2"/>
        </w:numPr>
        <w:spacing w:line="50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公布挂牌信息</w:t>
      </w:r>
    </w:p>
    <w:p>
      <w:pPr>
        <w:numPr>
          <w:ilvl w:val="0"/>
          <w:numId w:val="0"/>
        </w:numPr>
        <w:spacing w:line="500" w:lineRule="exact"/>
        <w:ind w:firstLine="616" w:firstLineChars="200"/>
        <w:rPr>
          <w:rFonts w:hint="eastAsia" w:ascii="仿宋" w:hAnsi="仿宋" w:eastAsia="仿宋" w:cs="仿宋"/>
          <w:spacing w:val="-6"/>
          <w:sz w:val="32"/>
          <w:szCs w:val="32"/>
        </w:rPr>
      </w:pPr>
      <w:r>
        <w:rPr>
          <w:rFonts w:hint="eastAsia" w:ascii="仿宋" w:hAnsi="仿宋" w:eastAsia="仿宋" w:cs="仿宋"/>
          <w:spacing w:val="-6"/>
          <w:sz w:val="32"/>
          <w:szCs w:val="32"/>
          <w:lang w:val="en-US" w:eastAsia="zh-CN"/>
        </w:rPr>
        <w:t>1、</w:t>
      </w:r>
      <w:r>
        <w:rPr>
          <w:rFonts w:hint="eastAsia" w:ascii="仿宋" w:hAnsi="仿宋" w:eastAsia="仿宋" w:cs="仿宋"/>
          <w:spacing w:val="-6"/>
          <w:sz w:val="32"/>
          <w:szCs w:val="32"/>
        </w:rPr>
        <w:t>在挂牌公告期起始日，由</w:t>
      </w:r>
      <w:r>
        <w:rPr>
          <w:rFonts w:hint="eastAsia" w:ascii="仿宋" w:hAnsi="仿宋" w:eastAsia="仿宋" w:cs="仿宋"/>
          <w:spacing w:val="-6"/>
          <w:sz w:val="32"/>
          <w:szCs w:val="32"/>
          <w:lang w:val="en-US" w:eastAsia="zh-CN"/>
        </w:rPr>
        <w:t>扎兰屯</w:t>
      </w:r>
      <w:r>
        <w:rPr>
          <w:rFonts w:hint="eastAsia" w:ascii="仿宋" w:hAnsi="仿宋" w:eastAsia="仿宋" w:cs="仿宋"/>
          <w:spacing w:val="-6"/>
          <w:sz w:val="32"/>
          <w:szCs w:val="32"/>
        </w:rPr>
        <w:t>市自然资源局将采矿权的位置、面积、起始价、增价幅度等信息通过</w:t>
      </w:r>
      <w:r>
        <w:rPr>
          <w:rFonts w:hint="eastAsia" w:ascii="仿宋" w:hAnsi="仿宋" w:eastAsia="仿宋" w:cs="仿宋"/>
          <w:spacing w:val="-6"/>
          <w:sz w:val="32"/>
          <w:szCs w:val="32"/>
          <w:lang w:eastAsia="zh-CN"/>
        </w:rPr>
        <w:t>自然资源部门户网站、</w:t>
      </w:r>
      <w:r>
        <w:rPr>
          <w:rFonts w:hint="eastAsia" w:ascii="仿宋" w:hAnsi="仿宋" w:eastAsia="仿宋" w:cs="仿宋"/>
          <w:spacing w:val="-6"/>
          <w:sz w:val="32"/>
          <w:szCs w:val="32"/>
        </w:rPr>
        <w:t>内蒙古自治区自然资源网上交易系统、</w:t>
      </w:r>
      <w:r>
        <w:rPr>
          <w:rFonts w:hint="eastAsia" w:ascii="仿宋" w:hAnsi="仿宋" w:eastAsia="仿宋" w:cs="仿宋"/>
          <w:spacing w:val="-6"/>
          <w:sz w:val="32"/>
          <w:szCs w:val="32"/>
          <w:lang w:val="en-US" w:eastAsia="zh-CN"/>
        </w:rPr>
        <w:t>扎兰屯</w:t>
      </w:r>
      <w:r>
        <w:rPr>
          <w:rFonts w:hint="eastAsia" w:ascii="仿宋" w:hAnsi="仿宋" w:eastAsia="仿宋" w:cs="仿宋"/>
          <w:spacing w:val="-6"/>
          <w:sz w:val="32"/>
          <w:szCs w:val="32"/>
        </w:rPr>
        <w:t>市人民政府网站同时发布。</w:t>
      </w:r>
    </w:p>
    <w:p>
      <w:pPr>
        <w:numPr>
          <w:ilvl w:val="0"/>
          <w:numId w:val="0"/>
        </w:numPr>
        <w:spacing w:line="500" w:lineRule="exact"/>
        <w:ind w:firstLine="616" w:firstLineChars="200"/>
        <w:rPr>
          <w:rFonts w:hint="eastAsia" w:ascii="仿宋" w:hAnsi="仿宋" w:eastAsia="仿宋" w:cs="仿宋"/>
          <w:sz w:val="32"/>
          <w:szCs w:val="32"/>
        </w:rPr>
      </w:pPr>
      <w:r>
        <w:rPr>
          <w:rFonts w:hint="eastAsia" w:ascii="仿宋" w:hAnsi="仿宋" w:eastAsia="仿宋" w:cs="仿宋"/>
          <w:spacing w:val="-6"/>
          <w:sz w:val="32"/>
          <w:szCs w:val="32"/>
          <w:lang w:val="en-US" w:eastAsia="zh-CN"/>
        </w:rPr>
        <w:t>2、</w:t>
      </w:r>
      <w:r>
        <w:rPr>
          <w:rFonts w:hint="eastAsia" w:ascii="仿宋" w:hAnsi="仿宋" w:eastAsia="仿宋" w:cs="仿宋"/>
          <w:spacing w:val="-6"/>
          <w:sz w:val="32"/>
          <w:szCs w:val="32"/>
        </w:rPr>
        <w:t>申请人可在公告期内登录内蒙古自治区自然资源网上交易</w:t>
      </w:r>
      <w:r>
        <w:rPr>
          <w:rFonts w:hint="eastAsia" w:ascii="仿宋" w:hAnsi="仿宋" w:eastAsia="仿宋" w:cs="仿宋"/>
          <w:spacing w:val="-6"/>
          <w:sz w:val="32"/>
          <w:szCs w:val="32"/>
          <w:lang w:val="en-US" w:eastAsia="zh-CN"/>
        </w:rPr>
        <w:t>系</w:t>
      </w:r>
      <w:r>
        <w:rPr>
          <w:rFonts w:hint="eastAsia" w:ascii="仿宋" w:hAnsi="仿宋" w:eastAsia="仿宋" w:cs="仿宋"/>
          <w:spacing w:val="-6"/>
          <w:sz w:val="32"/>
          <w:szCs w:val="32"/>
        </w:rPr>
        <w:t>统</w:t>
      </w:r>
      <w:r>
        <w:rPr>
          <w:rFonts w:hint="eastAsia" w:ascii="仿宋" w:hAnsi="仿宋" w:eastAsia="仿宋" w:cs="仿宋"/>
          <w:sz w:val="32"/>
          <w:szCs w:val="32"/>
        </w:rPr>
        <w:t>（http://219.159.12.165:8090/trade-engine/trade/index）点击“公告信息”----“查看公告详情”，随时查看采矿权信息。</w:t>
      </w:r>
    </w:p>
    <w:p>
      <w:pPr>
        <w:numPr>
          <w:ilvl w:val="0"/>
          <w:numId w:val="2"/>
        </w:numPr>
        <w:spacing w:line="50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挂牌竞价</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在公告的挂牌竞价期，取得《矿业权挂牌出让竞买资格确认书》的竞买人可以通过交易系统进行网上报价。系统自动接收竞买人的报价并随时更新显示挂牌价格。</w:t>
      </w:r>
    </w:p>
    <w:p>
      <w:pPr>
        <w:numPr>
          <w:ilvl w:val="0"/>
          <w:numId w:val="2"/>
        </w:numPr>
        <w:spacing w:line="50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报价规则</w:t>
      </w:r>
    </w:p>
    <w:p>
      <w:pPr>
        <w:numPr>
          <w:ilvl w:val="0"/>
          <w:numId w:val="0"/>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挂牌报价只接受人民币报价</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本次挂牌出让不设底价；</w:t>
      </w:r>
    </w:p>
    <w:p>
      <w:pPr>
        <w:numPr>
          <w:ilvl w:val="0"/>
          <w:numId w:val="0"/>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本次挂牌按照价高者</w:t>
      </w:r>
      <w:r>
        <w:rPr>
          <w:rFonts w:hint="eastAsia" w:ascii="仿宋" w:hAnsi="仿宋" w:eastAsia="仿宋" w:cs="仿宋"/>
          <w:sz w:val="32"/>
          <w:szCs w:val="32"/>
          <w:lang w:val="en-US" w:eastAsia="zh-CN"/>
        </w:rPr>
        <w:t>且资格审查合格的</w:t>
      </w:r>
      <w:r>
        <w:rPr>
          <w:rFonts w:hint="eastAsia" w:ascii="仿宋" w:hAnsi="仿宋" w:eastAsia="仿宋" w:cs="仿宋"/>
          <w:sz w:val="32"/>
          <w:szCs w:val="32"/>
        </w:rPr>
        <w:t>原则确定竞得人；</w:t>
      </w:r>
    </w:p>
    <w:p>
      <w:pPr>
        <w:numPr>
          <w:ilvl w:val="0"/>
          <w:numId w:val="0"/>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本次挂牌按增价方式进行报价，</w:t>
      </w:r>
      <w:r>
        <w:rPr>
          <w:rFonts w:hint="eastAsia" w:ascii="仿宋" w:hAnsi="仿宋" w:eastAsia="仿宋" w:cs="仿宋"/>
          <w:color w:val="000000"/>
          <w:sz w:val="32"/>
          <w:szCs w:val="32"/>
          <w:shd w:val="clear" w:fill="FFFFFF"/>
        </w:rPr>
        <w:t>增价幅度为</w:t>
      </w:r>
      <w:r>
        <w:rPr>
          <w:rFonts w:hint="eastAsia" w:ascii="仿宋" w:hAnsi="仿宋" w:eastAsia="仿宋" w:cs="仿宋"/>
          <w:color w:val="000000"/>
          <w:sz w:val="32"/>
          <w:szCs w:val="32"/>
          <w:shd w:val="clear" w:fill="FFFFFF"/>
          <w:lang w:val="en-US" w:eastAsia="zh-CN"/>
        </w:rPr>
        <w:t>2</w:t>
      </w:r>
      <w:r>
        <w:rPr>
          <w:rFonts w:hint="eastAsia" w:ascii="仿宋" w:hAnsi="仿宋" w:eastAsia="仿宋" w:cs="仿宋"/>
          <w:color w:val="000000"/>
          <w:sz w:val="32"/>
          <w:szCs w:val="32"/>
          <w:shd w:val="clear" w:fill="FFFFFF"/>
        </w:rPr>
        <w:t>万元/次</w:t>
      </w:r>
      <w:r>
        <w:rPr>
          <w:rFonts w:hint="eastAsia" w:ascii="仿宋" w:hAnsi="仿宋" w:eastAsia="仿宋" w:cs="仿宋"/>
          <w:color w:val="000000"/>
          <w:sz w:val="32"/>
          <w:szCs w:val="32"/>
          <w:shd w:val="clear" w:fill="FFFFFF"/>
          <w:lang w:val="en-US" w:eastAsia="zh-CN"/>
        </w:rPr>
        <w:t>或2万元/次的整数倍</w:t>
      </w:r>
      <w:r>
        <w:rPr>
          <w:rFonts w:hint="eastAsia" w:ascii="仿宋" w:hAnsi="仿宋" w:eastAsia="仿宋" w:cs="仿宋"/>
          <w:sz w:val="32"/>
          <w:szCs w:val="32"/>
        </w:rPr>
        <w:t>；</w:t>
      </w:r>
    </w:p>
    <w:p>
      <w:pPr>
        <w:numPr>
          <w:ilvl w:val="0"/>
          <w:numId w:val="0"/>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竞买人通过交易系统进行报价，价格一经报出，不得撤回；</w:t>
      </w:r>
    </w:p>
    <w:p>
      <w:pPr>
        <w:numPr>
          <w:ilvl w:val="0"/>
          <w:numId w:val="0"/>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在挂牌竞价期截止前，竞买人应当进行至少一次有效报价，方有资格参加该采矿权的网上延时竞价；</w:t>
      </w:r>
    </w:p>
    <w:p>
      <w:pPr>
        <w:numPr>
          <w:ilvl w:val="0"/>
          <w:numId w:val="0"/>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在挂牌竞价期间，竞买人可多次报价；</w:t>
      </w:r>
    </w:p>
    <w:p>
      <w:pPr>
        <w:numPr>
          <w:ilvl w:val="0"/>
          <w:numId w:val="0"/>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有两个或两个以上竞买人报价相同的，确认先提交报价者为该挂牌价格的出价人；</w:t>
      </w:r>
    </w:p>
    <w:p>
      <w:pPr>
        <w:numPr>
          <w:ilvl w:val="0"/>
          <w:numId w:val="0"/>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8、</w:t>
      </w:r>
      <w:r>
        <w:rPr>
          <w:rFonts w:hint="eastAsia" w:ascii="仿宋" w:hAnsi="仿宋" w:eastAsia="仿宋" w:cs="仿宋"/>
          <w:sz w:val="32"/>
          <w:szCs w:val="32"/>
        </w:rPr>
        <w:t>挂牌出让不接受电话、传真、邮寄、电子邮件及口头等方式的竞买报价；</w:t>
      </w:r>
    </w:p>
    <w:p>
      <w:pPr>
        <w:numPr>
          <w:ilvl w:val="0"/>
          <w:numId w:val="0"/>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9、</w:t>
      </w:r>
      <w:r>
        <w:rPr>
          <w:rFonts w:hint="eastAsia" w:ascii="仿宋" w:hAnsi="仿宋" w:eastAsia="仿宋" w:cs="仿宋"/>
          <w:sz w:val="32"/>
          <w:szCs w:val="32"/>
        </w:rPr>
        <w:t>网上挂牌交易规定的时间以交易系统服务器的时间为准，有关数据记录的时间以数据信息到达交易系统服务器的时间为准；</w:t>
      </w:r>
    </w:p>
    <w:p>
      <w:pPr>
        <w:numPr>
          <w:ilvl w:val="0"/>
          <w:numId w:val="0"/>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10、</w:t>
      </w:r>
      <w:r>
        <w:rPr>
          <w:rFonts w:hint="eastAsia" w:ascii="仿宋" w:hAnsi="仿宋" w:eastAsia="仿宋" w:cs="仿宋"/>
          <w:sz w:val="32"/>
          <w:szCs w:val="32"/>
        </w:rPr>
        <w:t>竞买人在竞价期随时可以在交易系统查看最新竞价动态，</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市自然资源局不承担其他形式的延误告知责任；</w:t>
      </w:r>
    </w:p>
    <w:p>
      <w:pPr>
        <w:numPr>
          <w:ilvl w:val="0"/>
          <w:numId w:val="0"/>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11、</w:t>
      </w:r>
      <w:r>
        <w:rPr>
          <w:rFonts w:hint="eastAsia" w:ascii="仿宋" w:hAnsi="仿宋" w:eastAsia="仿宋" w:cs="仿宋"/>
          <w:sz w:val="32"/>
          <w:szCs w:val="32"/>
        </w:rPr>
        <w:t>竞买人报价有下列情形之一的，为无效报价：</w:t>
      </w:r>
    </w:p>
    <w:p>
      <w:pPr>
        <w:numPr>
          <w:ilvl w:val="0"/>
          <w:numId w:val="3"/>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报价未在挂牌竞价期限内收到的；</w:t>
      </w:r>
    </w:p>
    <w:p>
      <w:pPr>
        <w:numPr>
          <w:ilvl w:val="0"/>
          <w:numId w:val="3"/>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报价低于起始价、低于当前挂牌价格、或低于该竞买人前一次报价的；</w:t>
      </w:r>
    </w:p>
    <w:p>
      <w:pPr>
        <w:numPr>
          <w:ilvl w:val="0"/>
          <w:numId w:val="3"/>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报价不符合增价幅度要求的；</w:t>
      </w:r>
    </w:p>
    <w:p>
      <w:pPr>
        <w:numPr>
          <w:ilvl w:val="0"/>
          <w:numId w:val="3"/>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报价不符合报价规则的；</w:t>
      </w:r>
    </w:p>
    <w:p>
      <w:pPr>
        <w:numPr>
          <w:ilvl w:val="0"/>
          <w:numId w:val="3"/>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其他违背法律、法规、规章、相关政策或挂牌文件等明文规定导致报价无效的。</w:t>
      </w:r>
    </w:p>
    <w:p>
      <w:pPr>
        <w:numPr>
          <w:ilvl w:val="0"/>
          <w:numId w:val="0"/>
        </w:numPr>
        <w:tabs>
          <w:tab w:val="left" w:pos="1431"/>
          <w:tab w:val="left" w:pos="1446"/>
        </w:tabs>
        <w:spacing w:line="500" w:lineRule="exact"/>
        <w:ind w:firstLine="964" w:firstLineChars="300"/>
        <w:rPr>
          <w:rFonts w:ascii="仿宋" w:hAnsi="仿宋" w:eastAsia="仿宋" w:cs="仿宋"/>
          <w:b/>
          <w:bCs/>
          <w:sz w:val="32"/>
          <w:szCs w:val="32"/>
        </w:rPr>
      </w:pPr>
      <w:r>
        <w:rPr>
          <w:rFonts w:hint="eastAsia" w:ascii="仿宋" w:hAnsi="仿宋" w:eastAsia="仿宋" w:cs="仿宋"/>
          <w:b/>
          <w:bCs/>
          <w:sz w:val="32"/>
          <w:szCs w:val="32"/>
          <w:lang w:val="en-US" w:eastAsia="zh-CN"/>
        </w:rPr>
        <w:t>十一、</w:t>
      </w:r>
      <w:r>
        <w:rPr>
          <w:rFonts w:hint="eastAsia" w:ascii="仿宋" w:hAnsi="仿宋" w:eastAsia="仿宋" w:cs="仿宋"/>
          <w:b/>
          <w:bCs/>
          <w:sz w:val="32"/>
          <w:szCs w:val="32"/>
        </w:rPr>
        <w:t>延时竞价</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延时竞价是挂牌出让程序的一部分。延时竞价通过交易系统进行，按系统提示参与延时竞价的竞买人均可参加延时竞价。延时竞价按下列程序进行：</w:t>
      </w:r>
    </w:p>
    <w:p>
      <w:pPr>
        <w:numPr>
          <w:ilvl w:val="0"/>
          <w:numId w:val="4"/>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参加延时竞价的竞买人按照报价规则通过交易系统报价；</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（２）交易系统自动接收竞买人的报价并更新价格；</w:t>
      </w:r>
    </w:p>
    <w:p>
      <w:p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３）每次报价周期一般设置为4分钟，系统接收到新的报价后将自动延时到下一个4分钟报价周期，在报价周期内没有接收到新的报价，竞价结束。系统自动判断当前最高有效报价者是否为预竞得人，并生成《资格审查通知书》。</w:t>
      </w:r>
    </w:p>
    <w:p>
      <w:pPr>
        <w:numPr>
          <w:ilvl w:val="0"/>
          <w:numId w:val="0"/>
        </w:numPr>
        <w:spacing w:line="500" w:lineRule="exact"/>
        <w:ind w:firstLine="643" w:firstLineChars="200"/>
        <w:rPr>
          <w:rFonts w:ascii="仿宋" w:hAnsi="仿宋" w:eastAsia="仿宋" w:cs="仿宋"/>
          <w:b/>
          <w:bCs/>
          <w:sz w:val="32"/>
          <w:szCs w:val="32"/>
        </w:rPr>
      </w:pPr>
      <w:r>
        <w:rPr>
          <w:rFonts w:hint="eastAsia" w:ascii="仿宋" w:hAnsi="仿宋" w:eastAsia="仿宋" w:cs="仿宋"/>
          <w:b/>
          <w:bCs/>
          <w:sz w:val="32"/>
          <w:szCs w:val="32"/>
          <w:lang w:val="en-US" w:eastAsia="zh-CN"/>
        </w:rPr>
        <w:t>十二、</w:t>
      </w:r>
      <w:r>
        <w:rPr>
          <w:rFonts w:hint="eastAsia" w:ascii="仿宋" w:hAnsi="仿宋" w:eastAsia="仿宋" w:cs="仿宋"/>
          <w:b/>
          <w:bCs/>
          <w:sz w:val="32"/>
          <w:szCs w:val="32"/>
        </w:rPr>
        <w:t>挂牌截止</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挂牌竞价期截止前，竞买人应及时登录交易系统。挂牌竞价期截止后，系统会询问竞买人是否愿意继续参与延时竞价，询问期一般设置为3分钟。 </w:t>
      </w:r>
    </w:p>
    <w:p>
      <w:pPr>
        <w:numPr>
          <w:ilvl w:val="0"/>
          <w:numId w:val="5"/>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询问期内，没有竞买人表示愿意继续竞价的，系统显示挂牌活动结束，并按最高报价的出价人为预竞得人,系统显示竞价已结束。</w:t>
      </w:r>
    </w:p>
    <w:p>
      <w:pPr>
        <w:numPr>
          <w:ilvl w:val="0"/>
          <w:numId w:val="6"/>
        </w:num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询问期内，有竞买人表示愿意继续参与竞价的，即属于挂牌截止时有两个或两个以上竞买人要求继续报价的情形，询问期结束后，挂牌出让直接转入延时竞价，通过延时竞价确定预竞得人，并生成《资格审查通知书》。</w:t>
      </w:r>
    </w:p>
    <w:p>
      <w:pPr>
        <w:pStyle w:val="3"/>
        <w:widowControl/>
        <w:shd w:val="clear" w:color="auto" w:fill="FFFFFF"/>
        <w:tabs>
          <w:tab w:val="left" w:pos="607"/>
        </w:tabs>
        <w:spacing w:line="480" w:lineRule="atLeast"/>
        <w:ind w:firstLine="643" w:firstLineChars="200"/>
        <w:rPr>
          <w:rStyle w:val="6"/>
          <w:rFonts w:hint="eastAsia" w:ascii="仿宋" w:hAnsi="仿宋" w:eastAsia="仿宋" w:cs="仿宋"/>
          <w:color w:val="000000"/>
          <w:sz w:val="32"/>
          <w:szCs w:val="32"/>
          <w:shd w:val="clear" w:color="auto" w:fill="FFFFFF"/>
        </w:rPr>
      </w:pPr>
      <w:r>
        <w:rPr>
          <w:rStyle w:val="6"/>
          <w:rFonts w:hint="eastAsia" w:ascii="仿宋" w:hAnsi="仿宋" w:eastAsia="仿宋" w:cs="仿宋"/>
          <w:color w:val="000000"/>
          <w:sz w:val="32"/>
          <w:szCs w:val="32"/>
          <w:shd w:val="clear" w:color="auto" w:fill="FFFFFF"/>
          <w:lang w:val="en-US" w:eastAsia="zh-CN"/>
        </w:rPr>
        <w:t>十三</w:t>
      </w:r>
      <w:r>
        <w:rPr>
          <w:rStyle w:val="6"/>
          <w:rFonts w:hint="eastAsia" w:ascii="仿宋" w:hAnsi="仿宋" w:eastAsia="仿宋" w:cs="仿宋"/>
          <w:color w:val="000000"/>
          <w:sz w:val="32"/>
          <w:szCs w:val="32"/>
          <w:shd w:val="clear" w:color="auto" w:fill="FFFFFF"/>
        </w:rPr>
        <w:t>、风险提示</w:t>
      </w:r>
    </w:p>
    <w:p>
      <w:pPr>
        <w:pStyle w:val="3"/>
        <w:widowControl/>
        <w:shd w:val="clear" w:color="auto" w:fill="FFFFFF"/>
        <w:tabs>
          <w:tab w:val="left" w:pos="607"/>
        </w:tabs>
        <w:spacing w:line="480" w:lineRule="atLeast"/>
        <w:ind w:firstLine="640" w:firstLineChars="200"/>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（一）标的瑕疵的影响：采矿权投资存有不可预见的风险，挂牌出让</w:t>
      </w:r>
      <w:r>
        <w:rPr>
          <w:rFonts w:hint="eastAsia" w:ascii="仿宋" w:hAnsi="仿宋" w:eastAsia="仿宋" w:cs="仿宋"/>
          <w:color w:val="000000"/>
          <w:sz w:val="32"/>
          <w:szCs w:val="32"/>
          <w:shd w:val="clear" w:color="auto" w:fill="FFFFFF"/>
          <w:lang w:val="en-US" w:eastAsia="zh-CN"/>
        </w:rPr>
        <w:t>公告</w:t>
      </w:r>
      <w:r>
        <w:rPr>
          <w:rFonts w:hint="eastAsia" w:ascii="仿宋" w:hAnsi="仿宋" w:eastAsia="仿宋" w:cs="仿宋"/>
          <w:color w:val="000000"/>
          <w:sz w:val="32"/>
          <w:szCs w:val="32"/>
          <w:shd w:val="clear" w:color="auto" w:fill="FFFFFF"/>
        </w:rPr>
        <w:t>所表述的有关矿体的规模、形态、储量、矿石质量等可能与实际开采有所差距，提交申请并参加竞买，即视为对出让的采矿权现状和</w:t>
      </w:r>
      <w:r>
        <w:rPr>
          <w:rFonts w:hint="eastAsia" w:ascii="仿宋" w:hAnsi="仿宋" w:eastAsia="仿宋" w:cs="仿宋"/>
          <w:color w:val="000000"/>
          <w:sz w:val="32"/>
          <w:szCs w:val="32"/>
          <w:shd w:val="clear" w:color="auto" w:fill="FFFFFF"/>
          <w:lang w:val="en-US" w:eastAsia="zh-CN"/>
        </w:rPr>
        <w:t>挂牌出让须知</w:t>
      </w:r>
      <w:r>
        <w:rPr>
          <w:rFonts w:hint="eastAsia" w:ascii="仿宋" w:hAnsi="仿宋" w:eastAsia="仿宋" w:cs="仿宋"/>
          <w:color w:val="000000"/>
          <w:sz w:val="32"/>
          <w:szCs w:val="32"/>
          <w:shd w:val="clear" w:color="auto" w:fill="FFFFFF"/>
        </w:rPr>
        <w:t>已完全认可并自愿承担全部的风险责任。</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（二）政策风险：竞买人应充分考虑国家、自治区、市生态环境保护以及其他政策调整和变化可能带来的风险。</w:t>
      </w:r>
    </w:p>
    <w:p>
      <w:pPr>
        <w:pStyle w:val="3"/>
        <w:widowControl/>
        <w:shd w:val="clear" w:color="auto" w:fill="FFFFFF"/>
        <w:spacing w:line="480" w:lineRule="atLeast"/>
        <w:ind w:firstLine="645"/>
        <w:rPr>
          <w:rFonts w:hint="eastAsia" w:ascii="仿宋" w:hAnsi="仿宋" w:eastAsia="仿宋" w:cs="仿宋"/>
          <w:color w:val="FF0000"/>
          <w:sz w:val="32"/>
          <w:szCs w:val="32"/>
        </w:rPr>
      </w:pPr>
      <w:r>
        <w:rPr>
          <w:rFonts w:hint="eastAsia" w:ascii="仿宋" w:hAnsi="仿宋" w:eastAsia="仿宋" w:cs="仿宋"/>
          <w:color w:val="000000"/>
          <w:sz w:val="32"/>
          <w:szCs w:val="32"/>
          <w:shd w:val="clear" w:color="auto" w:fill="FFFFFF"/>
        </w:rPr>
        <w:t>（三）若竞买人竞得采矿权后，涉及环保、林草、应急、土地、道路、水土保持等事项应当按照有关法律法规规定自行办理，发生的费用由竞得人自行负责。如因相关部门手续不能办理等情况导致不能开采矿产资源，风险由竞得人自行承担</w:t>
      </w:r>
      <w:r>
        <w:rPr>
          <w:rFonts w:hint="eastAsia" w:ascii="仿宋" w:hAnsi="仿宋" w:eastAsia="仿宋" w:cs="仿宋"/>
          <w:sz w:val="32"/>
          <w:szCs w:val="32"/>
          <w:shd w:val="clear" w:color="auto" w:fill="FFFFFF"/>
        </w:rPr>
        <w:t>。</w:t>
      </w:r>
    </w:p>
    <w:p>
      <w:pPr>
        <w:pStyle w:val="3"/>
        <w:widowControl/>
        <w:shd w:val="clear" w:color="auto" w:fill="FFFFFF"/>
        <w:spacing w:line="480" w:lineRule="atLeast"/>
        <w:ind w:firstLine="645"/>
        <w:rPr>
          <w:rFonts w:hint="eastAsia" w:ascii="仿宋" w:hAnsi="仿宋" w:eastAsia="仿宋" w:cs="仿宋"/>
          <w:color w:val="000000"/>
          <w:sz w:val="32"/>
          <w:szCs w:val="32"/>
          <w:shd w:val="clear" w:color="auto" w:fill="FFFFFF"/>
        </w:rPr>
      </w:pPr>
      <w:r>
        <w:rPr>
          <w:rFonts w:hint="eastAsia" w:ascii="仿宋" w:hAnsi="仿宋" w:eastAsia="仿宋" w:cs="仿宋"/>
          <w:color w:val="000000"/>
          <w:sz w:val="32"/>
          <w:szCs w:val="32"/>
          <w:shd w:val="clear" w:color="auto" w:fill="FFFFFF"/>
        </w:rPr>
        <w:t>（四）竞买人竞得采矿权后，须承担绿色矿山建设的主体责任、矿山地质环境恢复治理及土地复垦责任。</w:t>
      </w:r>
    </w:p>
    <w:p>
      <w:pPr>
        <w:pStyle w:val="3"/>
        <w:widowControl/>
        <w:shd w:val="clear" w:color="auto" w:fill="FFFFFF"/>
        <w:spacing w:line="480" w:lineRule="atLeast"/>
        <w:ind w:firstLine="645"/>
        <w:rPr>
          <w:rFonts w:hint="eastAsia" w:ascii="仿宋" w:hAnsi="仿宋" w:eastAsia="仿宋" w:cs="仿宋"/>
          <w:color w:val="333333"/>
          <w:sz w:val="32"/>
          <w:szCs w:val="32"/>
        </w:rPr>
      </w:pPr>
      <w:r>
        <w:rPr>
          <w:rFonts w:hint="eastAsia" w:ascii="仿宋" w:hAnsi="仿宋" w:eastAsia="仿宋" w:cs="仿宋"/>
          <w:color w:val="333333"/>
          <w:sz w:val="32"/>
          <w:szCs w:val="32"/>
          <w:shd w:val="clear" w:color="auto" w:fill="FFFFFF"/>
        </w:rPr>
        <w:t>（五）竞得人须自行解决除出让采矿权以外的其他方面的问题和矛盾,并承担责任和费用。</w:t>
      </w:r>
    </w:p>
    <w:p>
      <w:pPr>
        <w:pStyle w:val="3"/>
        <w:widowControl/>
        <w:shd w:val="clear" w:color="auto" w:fill="FFFFFF"/>
        <w:spacing w:line="480" w:lineRule="atLeast"/>
        <w:ind w:firstLine="645"/>
        <w:rPr>
          <w:rFonts w:hint="eastAsia" w:ascii="仿宋" w:hAnsi="仿宋" w:eastAsia="仿宋" w:cs="仿宋"/>
          <w:color w:val="333333"/>
          <w:sz w:val="32"/>
          <w:szCs w:val="32"/>
          <w:shd w:val="clear" w:color="auto" w:fill="FFFFFF"/>
        </w:rPr>
      </w:pPr>
      <w:r>
        <w:rPr>
          <w:rFonts w:hint="eastAsia" w:ascii="仿宋" w:hAnsi="仿宋" w:eastAsia="仿宋" w:cs="仿宋"/>
          <w:color w:val="333333"/>
          <w:sz w:val="32"/>
          <w:szCs w:val="32"/>
          <w:shd w:val="clear" w:color="auto" w:fill="FFFFFF"/>
        </w:rPr>
        <w:t>上述风险及可能带来的后果，竞买人应充分考虑、慎重决策，出让方不承担任何责任。</w:t>
      </w:r>
    </w:p>
    <w:p>
      <w:pPr>
        <w:pStyle w:val="3"/>
        <w:widowControl/>
        <w:numPr>
          <w:ilvl w:val="0"/>
          <w:numId w:val="0"/>
        </w:numPr>
        <w:shd w:val="clear" w:color="auto" w:fill="FFFFFF"/>
        <w:spacing w:line="480" w:lineRule="atLeast"/>
        <w:ind w:left="645" w:leftChars="0" w:right="0" w:rightChars="0"/>
        <w:rPr>
          <w:rStyle w:val="6"/>
          <w:rFonts w:hint="eastAsia" w:ascii="仿宋" w:hAnsi="仿宋" w:eastAsia="仿宋" w:cs="仿宋"/>
          <w:color w:val="000000"/>
          <w:sz w:val="32"/>
          <w:szCs w:val="32"/>
          <w:shd w:val="clear" w:color="auto" w:fill="FFFFFF"/>
        </w:rPr>
      </w:pPr>
      <w:r>
        <w:rPr>
          <w:rStyle w:val="6"/>
          <w:rFonts w:hint="eastAsia" w:ascii="仿宋" w:hAnsi="仿宋" w:eastAsia="仿宋" w:cs="仿宋"/>
          <w:color w:val="000000"/>
          <w:sz w:val="32"/>
          <w:szCs w:val="32"/>
          <w:shd w:val="clear" w:color="auto" w:fill="FFFFFF"/>
          <w:lang w:val="en-US" w:eastAsia="zh-CN"/>
        </w:rPr>
        <w:t>十四、</w:t>
      </w:r>
      <w:r>
        <w:rPr>
          <w:rStyle w:val="6"/>
          <w:rFonts w:hint="eastAsia" w:ascii="仿宋" w:hAnsi="仿宋" w:eastAsia="仿宋" w:cs="仿宋"/>
          <w:color w:val="000000"/>
          <w:sz w:val="32"/>
          <w:szCs w:val="32"/>
          <w:shd w:val="clear" w:color="auto" w:fill="FFFFFF"/>
        </w:rPr>
        <w:t>对交易矿业权异议的处理方式</w:t>
      </w:r>
    </w:p>
    <w:p>
      <w:pPr>
        <w:pStyle w:val="3"/>
        <w:widowControl/>
        <w:numPr>
          <w:ilvl w:val="0"/>
          <w:numId w:val="0"/>
        </w:numPr>
        <w:shd w:val="clear" w:color="auto" w:fill="FFFFFF"/>
        <w:spacing w:line="480" w:lineRule="atLeast"/>
        <w:ind w:right="0" w:rightChars="0" w:firstLine="640" w:firstLineChars="200"/>
        <w:rPr>
          <w:rFonts w:hint="eastAsia" w:ascii="仿宋" w:hAnsi="仿宋" w:eastAsia="仿宋" w:cs="仿宋"/>
          <w:color w:val="000000"/>
          <w:sz w:val="32"/>
          <w:szCs w:val="32"/>
          <w:shd w:val="clear" w:color="auto" w:fill="FFFFFF"/>
        </w:rPr>
      </w:pPr>
      <w:r>
        <w:rPr>
          <w:rFonts w:hint="eastAsia" w:ascii="仿宋" w:hAnsi="仿宋" w:eastAsia="仿宋" w:cs="仿宋"/>
          <w:color w:val="000000"/>
          <w:sz w:val="32"/>
          <w:szCs w:val="32"/>
          <w:shd w:val="clear" w:color="auto" w:fill="FFFFFF"/>
        </w:rPr>
        <w:t>竞买申请人对本</w:t>
      </w:r>
      <w:r>
        <w:rPr>
          <w:rFonts w:hint="eastAsia" w:ascii="仿宋" w:hAnsi="仿宋" w:eastAsia="仿宋" w:cs="仿宋"/>
          <w:color w:val="000000"/>
          <w:sz w:val="32"/>
          <w:szCs w:val="32"/>
          <w:shd w:val="clear" w:color="auto" w:fill="FFFFFF"/>
          <w:lang w:val="en-US" w:eastAsia="zh-CN"/>
        </w:rPr>
        <w:t>公告、须知</w:t>
      </w:r>
      <w:r>
        <w:rPr>
          <w:rFonts w:hint="eastAsia" w:ascii="仿宋" w:hAnsi="仿宋" w:eastAsia="仿宋" w:cs="仿宋"/>
          <w:color w:val="000000"/>
          <w:sz w:val="32"/>
          <w:szCs w:val="32"/>
          <w:shd w:val="clear" w:color="auto" w:fill="FFFFFF"/>
        </w:rPr>
        <w:t>和采矿权现状有异议的，应在申请报名前以书面形式送达出让人，受理异议时间自2024年10月28日—2024年11月8日。竞买申请人一旦提交网上申请，即视为对本公告和出让采矿权现状无异议，对</w:t>
      </w:r>
      <w:r>
        <w:rPr>
          <w:rFonts w:hint="eastAsia" w:ascii="仿宋" w:hAnsi="仿宋" w:eastAsia="仿宋" w:cs="仿宋"/>
          <w:color w:val="000000"/>
          <w:sz w:val="32"/>
          <w:szCs w:val="32"/>
          <w:shd w:val="clear" w:color="auto" w:fill="FFFFFF"/>
          <w:lang w:val="en-US" w:eastAsia="zh-CN"/>
        </w:rPr>
        <w:t>挂牌出让</w:t>
      </w:r>
      <w:r>
        <w:rPr>
          <w:rFonts w:hint="eastAsia" w:ascii="仿宋" w:hAnsi="仿宋" w:eastAsia="仿宋" w:cs="仿宋"/>
          <w:color w:val="000000"/>
          <w:sz w:val="32"/>
          <w:szCs w:val="32"/>
          <w:shd w:val="clear" w:color="auto" w:fill="FFFFFF"/>
        </w:rPr>
        <w:t>内容清楚并愿意受其约束；若网上提交申请前</w:t>
      </w:r>
      <w:r>
        <w:rPr>
          <w:rFonts w:hint="eastAsia" w:ascii="仿宋" w:hAnsi="仿宋" w:eastAsia="仿宋" w:cs="仿宋"/>
          <w:color w:val="auto"/>
          <w:sz w:val="32"/>
          <w:szCs w:val="32"/>
          <w:shd w:val="clear" w:color="auto" w:fill="FFFFFF"/>
        </w:rPr>
        <w:t>竞买申请人</w:t>
      </w:r>
      <w:r>
        <w:rPr>
          <w:rFonts w:hint="eastAsia" w:ascii="仿宋" w:hAnsi="仿宋" w:eastAsia="仿宋" w:cs="仿宋"/>
          <w:color w:val="000000"/>
          <w:sz w:val="32"/>
          <w:szCs w:val="32"/>
          <w:shd w:val="clear" w:color="auto" w:fill="FFFFFF"/>
        </w:rPr>
        <w:t>未实地踏勘的，竞买申请人不得以不清楚采矿权现状或该采矿权存在瑕疵为由，对成交结果及因此签订的相关文件提出抗辩</w:t>
      </w:r>
      <w:r>
        <w:rPr>
          <w:rFonts w:hint="eastAsia" w:ascii="仿宋" w:hAnsi="仿宋" w:eastAsia="仿宋" w:cs="仿宋"/>
          <w:color w:val="auto"/>
          <w:sz w:val="32"/>
          <w:szCs w:val="32"/>
          <w:shd w:val="clear" w:color="auto" w:fill="FFFFFF"/>
        </w:rPr>
        <w:t>或异议</w:t>
      </w:r>
      <w:r>
        <w:rPr>
          <w:rFonts w:hint="eastAsia" w:ascii="仿宋" w:hAnsi="仿宋" w:eastAsia="仿宋" w:cs="仿宋"/>
          <w:color w:val="000000"/>
          <w:sz w:val="32"/>
          <w:szCs w:val="32"/>
          <w:shd w:val="clear" w:color="auto" w:fill="FFFFFF"/>
        </w:rPr>
        <w:t>，需对自己在挂牌活动中的行为承担一切法律及经济责任。</w:t>
      </w:r>
      <w:bookmarkStart w:id="11" w:name="_Toc16040"/>
    </w:p>
    <w:p>
      <w:pPr>
        <w:pStyle w:val="3"/>
        <w:widowControl/>
        <w:numPr>
          <w:ilvl w:val="0"/>
          <w:numId w:val="0"/>
        </w:numPr>
        <w:shd w:val="clear" w:color="auto" w:fill="FFFFFF"/>
        <w:spacing w:line="480" w:lineRule="atLeast"/>
        <w:ind w:right="0" w:rightChars="0" w:firstLine="643" w:firstLineChars="200"/>
        <w:rPr>
          <w:rFonts w:ascii="仿宋" w:hAnsi="仿宋" w:eastAsia="仿宋" w:cs="仿宋"/>
          <w:b/>
          <w:bCs/>
          <w:sz w:val="32"/>
          <w:szCs w:val="32"/>
        </w:rPr>
      </w:pPr>
      <w:r>
        <w:rPr>
          <w:rFonts w:hint="eastAsia" w:ascii="仿宋" w:hAnsi="仿宋" w:eastAsia="仿宋" w:cs="仿宋"/>
          <w:b/>
          <w:bCs/>
          <w:sz w:val="32"/>
          <w:szCs w:val="32"/>
          <w:lang w:val="en-US" w:eastAsia="zh-CN"/>
        </w:rPr>
        <w:t>十五、</w:t>
      </w:r>
      <w:r>
        <w:rPr>
          <w:rFonts w:hint="eastAsia" w:ascii="仿宋" w:hAnsi="仿宋" w:eastAsia="仿宋" w:cs="仿宋"/>
          <w:b/>
          <w:bCs/>
          <w:sz w:val="32"/>
          <w:szCs w:val="32"/>
        </w:rPr>
        <w:t>资格审查</w:t>
      </w:r>
      <w:bookmarkEnd w:id="11"/>
    </w:p>
    <w:p>
      <w:pPr>
        <w:spacing w:line="500" w:lineRule="exact"/>
        <w:ind w:firstLine="643" w:firstLineChars="200"/>
        <w:rPr>
          <w:rFonts w:ascii="仿宋" w:hAnsi="仿宋" w:eastAsia="仿宋" w:cs="仿宋"/>
          <w:sz w:val="32"/>
          <w:szCs w:val="32"/>
        </w:rPr>
      </w:pPr>
      <w:r>
        <w:rPr>
          <w:rFonts w:hint="eastAsia" w:ascii="仿宋" w:hAnsi="仿宋" w:eastAsia="仿宋" w:cs="仿宋"/>
          <w:b/>
          <w:bCs/>
          <w:sz w:val="32"/>
          <w:szCs w:val="32"/>
        </w:rPr>
        <w:t>（一）预竞得人接受资格确认可选择下列两种方式中的任意一种进行资格确认：</w:t>
      </w:r>
    </w:p>
    <w:p>
      <w:pPr>
        <w:pStyle w:val="3"/>
        <w:keepNext w:val="0"/>
        <w:keepLines w:val="0"/>
        <w:widowControl/>
        <w:suppressLineNumbers w:val="0"/>
        <w:spacing w:line="525" w:lineRule="atLeast"/>
        <w:ind w:left="0" w:firstLine="645"/>
        <w:rPr>
          <w:rFonts w:ascii="仿宋" w:hAnsi="仿宋" w:eastAsia="仿宋" w:cs="仿宋"/>
          <w:sz w:val="32"/>
          <w:szCs w:val="32"/>
        </w:rPr>
      </w:pPr>
      <w:r>
        <w:rPr>
          <w:rFonts w:hint="eastAsia" w:ascii="仿宋" w:hAnsi="仿宋" w:eastAsia="仿宋" w:cs="仿宋"/>
          <w:sz w:val="32"/>
          <w:szCs w:val="32"/>
        </w:rPr>
        <w:t>1、预竞得人取得《资格审查通知书》后3个工作日内</w:t>
      </w:r>
      <w:r>
        <w:rPr>
          <w:rFonts w:ascii="仿宋" w:hAnsi="仿宋" w:eastAsia="仿宋" w:cs="仿宋"/>
          <w:color w:val="333333"/>
          <w:sz w:val="32"/>
          <w:szCs w:val="32"/>
        </w:rPr>
        <w:t>携带完整资质材料原件</w:t>
      </w:r>
      <w:r>
        <w:rPr>
          <w:rFonts w:hint="eastAsia" w:ascii="仿宋" w:hAnsi="仿宋" w:eastAsia="仿宋" w:cs="仿宋"/>
          <w:sz w:val="32"/>
          <w:szCs w:val="32"/>
        </w:rPr>
        <w:t>，</w:t>
      </w:r>
      <w:r>
        <w:rPr>
          <w:rFonts w:ascii="仿宋" w:hAnsi="仿宋" w:eastAsia="仿宋" w:cs="仿宋"/>
          <w:color w:val="333333"/>
          <w:sz w:val="32"/>
          <w:szCs w:val="32"/>
        </w:rPr>
        <w:t>且携带材料与线上上传材料一致，</w:t>
      </w:r>
      <w:r>
        <w:rPr>
          <w:rFonts w:hint="eastAsia" w:ascii="仿宋" w:hAnsi="仿宋" w:eastAsia="仿宋" w:cs="仿宋"/>
          <w:sz w:val="32"/>
          <w:szCs w:val="32"/>
        </w:rPr>
        <w:t>到</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市自然资源局进行资格确认。通过资格确认的，方能取得《成交确认书》。</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2、预竞得人取得《资格审查通知书》后2个工作日内须上传预竞得人相关资料至交易系统。</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市自然资源局对预竞得人提交的相关资料进行确认，通过资格确认的，方能取得《成交确认书》。</w:t>
      </w:r>
    </w:p>
    <w:p>
      <w:pPr>
        <w:spacing w:line="50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（二）预竞得人应承担并履行竞买申请的全部责任，经审查，有下列情况之一，视为无效成交：</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1、预竞得人不具备资格的；</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2、预竞得人申请文件不齐全或不符合规定的；</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3、委托他人代理，但委托文件不齐全、委托事项不明确或不符合规定的；</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4、预竞得人取得《资格审查通知书》后，未在规定的时间内提交材料进行竞买资格审查的；</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5、其他违背法律、法规、规章、相关政策或挂牌</w:t>
      </w:r>
      <w:r>
        <w:rPr>
          <w:rFonts w:hint="eastAsia" w:ascii="仿宋" w:hAnsi="仿宋" w:eastAsia="仿宋" w:cs="仿宋"/>
          <w:sz w:val="32"/>
          <w:szCs w:val="32"/>
          <w:lang w:val="en-US" w:eastAsia="zh-CN"/>
        </w:rPr>
        <w:t>公告</w:t>
      </w:r>
      <w:r>
        <w:rPr>
          <w:rFonts w:hint="eastAsia" w:ascii="仿宋" w:hAnsi="仿宋" w:eastAsia="仿宋" w:cs="仿宋"/>
          <w:sz w:val="32"/>
          <w:szCs w:val="32"/>
        </w:rPr>
        <w:t>等明文规定导致无效的。</w:t>
      </w:r>
    </w:p>
    <w:p>
      <w:pPr>
        <w:numPr>
          <w:ilvl w:val="0"/>
          <w:numId w:val="0"/>
        </w:numPr>
        <w:spacing w:line="500" w:lineRule="exact"/>
        <w:ind w:left="629" w:leftChars="0"/>
        <w:outlineLvl w:val="0"/>
        <w:rPr>
          <w:rFonts w:ascii="仿宋" w:hAnsi="仿宋" w:eastAsia="仿宋" w:cs="仿宋"/>
          <w:b/>
          <w:bCs/>
          <w:sz w:val="32"/>
          <w:szCs w:val="32"/>
        </w:rPr>
      </w:pPr>
      <w:bookmarkStart w:id="12" w:name="_Toc613"/>
      <w:r>
        <w:rPr>
          <w:rFonts w:hint="eastAsia" w:ascii="仿宋" w:hAnsi="仿宋" w:eastAsia="仿宋" w:cs="仿宋"/>
          <w:b/>
          <w:bCs/>
          <w:sz w:val="32"/>
          <w:szCs w:val="32"/>
          <w:lang w:val="en-US" w:eastAsia="zh-CN"/>
        </w:rPr>
        <w:t>十六、</w:t>
      </w:r>
      <w:r>
        <w:rPr>
          <w:rFonts w:hint="eastAsia" w:ascii="仿宋" w:hAnsi="仿宋" w:eastAsia="仿宋" w:cs="仿宋"/>
          <w:b/>
          <w:bCs/>
          <w:sz w:val="32"/>
          <w:szCs w:val="32"/>
        </w:rPr>
        <w:t>确认竞得人资格</w:t>
      </w:r>
      <w:bookmarkEnd w:id="12"/>
    </w:p>
    <w:p>
      <w:pPr>
        <w:spacing w:line="50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（一）境内法人或其他组织申请的，取得《资格审查通知书》后应提交下列文件：</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1、竞买申请书；</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2、营业执照副本；</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3、法定代表人身份证明书或表明其他组织负责人身份的有效身份证明文件；</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4、法定代表人证明书及其身份证复印件；</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5、法定代表人授权委托书或其他组织负责人授权委托书；</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6、委托他人代为竞买及办理相关手续的，还应提交法定代表人签署的授权文件（应当列明具体委托事项、委托权限和委托期限）及委托代理人的身份证复印件；</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7、竞买保证金交纳凭证；</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8、竞买人《资格审查通知书》；</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9、竞买人资格审查资料责任承诺书；</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10、《矿业权挂牌出让竞买资格确认书》；</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11、声明书；</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12、其他资格证明文件。</w:t>
      </w:r>
    </w:p>
    <w:p>
      <w:pPr>
        <w:spacing w:line="50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（二）签订《成交确认书》</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预竞得人在规定的时间内与</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市自然资源局签订《成交确认书》。</w:t>
      </w:r>
    </w:p>
    <w:p>
      <w:pPr>
        <w:spacing w:line="50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（三）出让结果公布</w:t>
      </w:r>
    </w:p>
    <w:p>
      <w:p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市自然资源局在本</w:t>
      </w:r>
      <w:r>
        <w:rPr>
          <w:rFonts w:hint="eastAsia" w:ascii="仿宋" w:hAnsi="仿宋" w:eastAsia="仿宋" w:cs="仿宋"/>
          <w:sz w:val="32"/>
          <w:szCs w:val="32"/>
          <w:lang w:eastAsia="zh-CN"/>
        </w:rPr>
        <w:t>签订成交确认书后</w:t>
      </w:r>
      <w:r>
        <w:rPr>
          <w:rFonts w:hint="eastAsia" w:ascii="仿宋" w:hAnsi="仿宋" w:eastAsia="仿宋" w:cs="仿宋"/>
          <w:sz w:val="32"/>
          <w:szCs w:val="32"/>
        </w:rPr>
        <w:t>的</w:t>
      </w:r>
      <w:r>
        <w:rPr>
          <w:rFonts w:hint="eastAsia" w:ascii="仿宋" w:hAnsi="仿宋" w:eastAsia="仿宋" w:cs="仿宋"/>
          <w:sz w:val="32"/>
          <w:szCs w:val="32"/>
          <w:lang w:val="en-US" w:eastAsia="zh-CN"/>
        </w:rPr>
        <w:t>10个工作</w:t>
      </w:r>
      <w:r>
        <w:rPr>
          <w:rFonts w:hint="eastAsia" w:ascii="仿宋" w:hAnsi="仿宋" w:eastAsia="仿宋" w:cs="仿宋"/>
          <w:sz w:val="32"/>
          <w:szCs w:val="32"/>
        </w:rPr>
        <w:t>日内，将分别在原发布渠道公布本次出让结果。</w:t>
      </w:r>
    </w:p>
    <w:p>
      <w:pPr>
        <w:numPr>
          <w:ilvl w:val="0"/>
          <w:numId w:val="0"/>
        </w:numPr>
        <w:spacing w:line="500" w:lineRule="exact"/>
        <w:ind w:left="629" w:leftChars="0"/>
        <w:outlineLvl w:val="0"/>
        <w:rPr>
          <w:rFonts w:ascii="仿宋" w:hAnsi="仿宋" w:eastAsia="仿宋" w:cs="仿宋"/>
          <w:b/>
          <w:bCs/>
          <w:sz w:val="32"/>
          <w:szCs w:val="32"/>
        </w:rPr>
      </w:pPr>
      <w:bookmarkStart w:id="13" w:name="_Toc16883"/>
      <w:r>
        <w:rPr>
          <w:rFonts w:hint="eastAsia" w:ascii="仿宋" w:hAnsi="仿宋" w:eastAsia="仿宋" w:cs="仿宋"/>
          <w:b/>
          <w:bCs/>
          <w:sz w:val="32"/>
          <w:szCs w:val="32"/>
          <w:lang w:val="en-US" w:eastAsia="zh-CN"/>
        </w:rPr>
        <w:t>十七、</w:t>
      </w:r>
      <w:r>
        <w:rPr>
          <w:rFonts w:hint="eastAsia" w:ascii="仿宋" w:hAnsi="仿宋" w:eastAsia="仿宋" w:cs="仿宋"/>
          <w:b/>
          <w:bCs/>
          <w:sz w:val="32"/>
          <w:szCs w:val="32"/>
        </w:rPr>
        <w:t>未按本</w:t>
      </w:r>
      <w:r>
        <w:rPr>
          <w:rFonts w:hint="eastAsia" w:ascii="仿宋" w:hAnsi="仿宋" w:eastAsia="仿宋" w:cs="仿宋"/>
          <w:b/>
          <w:bCs/>
          <w:sz w:val="32"/>
          <w:szCs w:val="32"/>
          <w:lang w:val="en-US" w:eastAsia="zh-CN"/>
        </w:rPr>
        <w:t>采矿权</w:t>
      </w:r>
      <w:r>
        <w:rPr>
          <w:rFonts w:hint="eastAsia" w:ascii="仿宋" w:hAnsi="仿宋" w:eastAsia="仿宋" w:cs="仿宋"/>
          <w:b/>
          <w:bCs/>
          <w:sz w:val="32"/>
          <w:szCs w:val="32"/>
        </w:rPr>
        <w:t>挂牌</w:t>
      </w:r>
      <w:r>
        <w:rPr>
          <w:rFonts w:hint="eastAsia" w:ascii="仿宋" w:hAnsi="仿宋" w:eastAsia="仿宋" w:cs="仿宋"/>
          <w:b/>
          <w:bCs/>
          <w:sz w:val="32"/>
          <w:szCs w:val="32"/>
          <w:lang w:val="en-US" w:eastAsia="zh-CN"/>
        </w:rPr>
        <w:t>出让须知和挂牌出让公告</w:t>
      </w:r>
      <w:r>
        <w:rPr>
          <w:rFonts w:hint="eastAsia" w:ascii="仿宋" w:hAnsi="仿宋" w:eastAsia="仿宋" w:cs="仿宋"/>
          <w:b/>
          <w:bCs/>
          <w:sz w:val="32"/>
          <w:szCs w:val="32"/>
        </w:rPr>
        <w:t>规定参与出让活动的法律后果</w:t>
      </w:r>
      <w:bookmarkEnd w:id="13"/>
    </w:p>
    <w:p>
      <w:pPr>
        <w:numPr>
          <w:ilvl w:val="0"/>
          <w:numId w:val="7"/>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竞买人不具备</w:t>
      </w:r>
      <w:r>
        <w:rPr>
          <w:rFonts w:hint="eastAsia" w:ascii="仿宋" w:hAnsi="仿宋" w:eastAsia="仿宋" w:cs="仿宋"/>
          <w:sz w:val="32"/>
          <w:szCs w:val="32"/>
          <w:lang w:val="en-US" w:eastAsia="zh-CN"/>
        </w:rPr>
        <w:t>《挂牌须知》和《出让公告》</w:t>
      </w:r>
      <w:bookmarkStart w:id="17" w:name="_GoBack"/>
      <w:bookmarkEnd w:id="17"/>
      <w:r>
        <w:rPr>
          <w:rFonts w:hint="eastAsia" w:ascii="仿宋" w:hAnsi="仿宋" w:eastAsia="仿宋" w:cs="仿宋"/>
          <w:sz w:val="32"/>
          <w:szCs w:val="32"/>
        </w:rPr>
        <w:t>所规定的竞买资格而报名参与采矿权网上挂牌出让活动，或者提供虚假材料、隐瞒有关事实，或者经资格审查不合格等导致出让结果无效，竞买保证金不予退还。</w:t>
      </w:r>
    </w:p>
    <w:p>
      <w:pPr>
        <w:numPr>
          <w:ilvl w:val="0"/>
          <w:numId w:val="7"/>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lang w:val="en-US" w:eastAsia="zh-CN"/>
        </w:rPr>
        <w:t>预竞得人收到《资格审查通知书》拒绝提供资格审查资料的，取消预竞得人，竞买保证金不予退还，采矿权另行出让。</w:t>
      </w:r>
    </w:p>
    <w:p>
      <w:pPr>
        <w:numPr>
          <w:ilvl w:val="0"/>
          <w:numId w:val="7"/>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预竞得人拒绝签订《成交确认书》以及逾期或拒绝签订《采矿权出让合同》的，</w:t>
      </w:r>
      <w:r>
        <w:rPr>
          <w:rFonts w:hint="eastAsia" w:ascii="仿宋" w:hAnsi="仿宋" w:eastAsia="仿宋" w:cs="仿宋"/>
          <w:sz w:val="32"/>
          <w:szCs w:val="32"/>
          <w:lang w:val="en-US" w:eastAsia="zh-CN"/>
        </w:rPr>
        <w:t>取消其竞得人资格，</w:t>
      </w:r>
      <w:r>
        <w:rPr>
          <w:rFonts w:hint="eastAsia" w:ascii="仿宋" w:hAnsi="仿宋" w:eastAsia="仿宋" w:cs="仿宋"/>
          <w:sz w:val="32"/>
          <w:szCs w:val="32"/>
        </w:rPr>
        <w:t>竞得人交纳的竞买保证金不予退还</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采矿权另行出让。</w:t>
      </w:r>
    </w:p>
    <w:p>
      <w:pPr>
        <w:numPr>
          <w:ilvl w:val="0"/>
          <w:numId w:val="7"/>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签订《成交确认书》后，预竞得人放弃竞得采矿权的，竞买保证金不予退还，采矿权另行出让。</w:t>
      </w:r>
    </w:p>
    <w:p>
      <w:pPr>
        <w:numPr>
          <w:ilvl w:val="0"/>
          <w:numId w:val="0"/>
        </w:numPr>
        <w:spacing w:line="500" w:lineRule="exact"/>
        <w:ind w:left="629" w:leftChars="0"/>
        <w:outlineLvl w:val="0"/>
        <w:rPr>
          <w:rFonts w:ascii="仿宋" w:hAnsi="仿宋" w:eastAsia="仿宋" w:cs="仿宋"/>
          <w:b/>
          <w:bCs/>
          <w:sz w:val="32"/>
          <w:szCs w:val="32"/>
        </w:rPr>
      </w:pPr>
      <w:bookmarkStart w:id="14" w:name="_Toc30821"/>
      <w:r>
        <w:rPr>
          <w:rFonts w:hint="eastAsia" w:ascii="仿宋" w:hAnsi="仿宋" w:eastAsia="仿宋" w:cs="仿宋"/>
          <w:b/>
          <w:bCs/>
          <w:sz w:val="32"/>
          <w:szCs w:val="32"/>
          <w:lang w:val="en-US" w:eastAsia="zh-CN"/>
        </w:rPr>
        <w:t>十八、</w:t>
      </w:r>
      <w:r>
        <w:rPr>
          <w:rFonts w:hint="eastAsia" w:ascii="仿宋" w:hAnsi="仿宋" w:eastAsia="仿宋" w:cs="仿宋"/>
          <w:b/>
          <w:bCs/>
          <w:sz w:val="32"/>
          <w:szCs w:val="32"/>
        </w:rPr>
        <w:t>挂牌出让活动的延期、中止或终止</w:t>
      </w:r>
      <w:bookmarkEnd w:id="14"/>
    </w:p>
    <w:p>
      <w:pPr>
        <w:numPr>
          <w:ilvl w:val="0"/>
          <w:numId w:val="8"/>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有下列情形之一的，按照规定发布延期、中止或终止挂牌出让公告，挂牌出让活动延期、中止或终止，出让人不承担任何法律责任：</w:t>
      </w:r>
    </w:p>
    <w:p>
      <w:pPr>
        <w:numPr>
          <w:ilvl w:val="0"/>
          <w:numId w:val="9"/>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政府、纪检监察机关、司法机关依法决定或裁定延期、中止或者终止挂牌出让活动的；</w:t>
      </w:r>
    </w:p>
    <w:p>
      <w:pPr>
        <w:numPr>
          <w:ilvl w:val="0"/>
          <w:numId w:val="9"/>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涉及采矿权使用条件变更等影响价格的重要变动需要重新报批的；</w:t>
      </w:r>
    </w:p>
    <w:p>
      <w:pPr>
        <w:numPr>
          <w:ilvl w:val="0"/>
          <w:numId w:val="9"/>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因不可抗力、交易系统重大故障、网络入侵等非可控因素，导致交易系统不能正常运行的；</w:t>
      </w:r>
    </w:p>
    <w:p>
      <w:pPr>
        <w:numPr>
          <w:ilvl w:val="0"/>
          <w:numId w:val="9"/>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依法应当延期、中止或终止挂牌出让活动的其他情形。</w:t>
      </w:r>
    </w:p>
    <w:p>
      <w:pPr>
        <w:numPr>
          <w:ilvl w:val="0"/>
          <w:numId w:val="8"/>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因竞买人计算机系统遭遇网络堵塞、病毒入侵、硬件故障或者遗失数字证书、遗忘或者泄露密码等原因不能正常登录交易系统进行申请、报价、竞价的，后果由竞买人自行承担，网上交易活动不延期、不中止，也不终止。</w:t>
      </w:r>
    </w:p>
    <w:p>
      <w:pPr>
        <w:numPr>
          <w:ilvl w:val="0"/>
          <w:numId w:val="8"/>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中止交易的，在中止事项消除后，应在恢复交易前3个工作日内，在公布渠道发布恢复网上交易的公告，重新明确交易截止时间，恢复网上交易。如中止交易后5个工作日内事项无法消除，经监察人员、</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市自然资源局共同确认，报经</w:t>
      </w:r>
      <w:r>
        <w:rPr>
          <w:rFonts w:hint="eastAsia" w:ascii="仿宋" w:hAnsi="仿宋" w:eastAsia="仿宋" w:cs="仿宋"/>
          <w:sz w:val="32"/>
          <w:szCs w:val="32"/>
          <w:lang w:val="en-US" w:eastAsia="zh-CN"/>
        </w:rPr>
        <w:t>扎兰屯</w:t>
      </w:r>
      <w:r>
        <w:rPr>
          <w:rFonts w:hint="eastAsia" w:ascii="仿宋" w:hAnsi="仿宋" w:eastAsia="仿宋" w:cs="仿宋"/>
          <w:sz w:val="32"/>
          <w:szCs w:val="32"/>
        </w:rPr>
        <w:t>市人民政府批准后，可转为传统现场交易或终止交易。终止交易的，竞买保证金在终止交易后5个工作日内，全额退还竞买申请人。交易延期或中止前已按规定交纳竞买保证金的，其竞买资格在本次挂牌出让活动交易期内（含延期或中止交易期及恢复交易后）有效。</w:t>
      </w:r>
    </w:p>
    <w:p>
      <w:pPr>
        <w:numPr>
          <w:ilvl w:val="0"/>
          <w:numId w:val="0"/>
        </w:numPr>
        <w:spacing w:line="500" w:lineRule="exact"/>
        <w:ind w:left="629" w:leftChars="0"/>
        <w:outlineLvl w:val="0"/>
        <w:rPr>
          <w:rFonts w:ascii="仿宋" w:hAnsi="仿宋" w:eastAsia="仿宋" w:cs="仿宋"/>
          <w:b/>
          <w:bCs/>
          <w:sz w:val="32"/>
          <w:szCs w:val="32"/>
        </w:rPr>
      </w:pPr>
      <w:bookmarkStart w:id="15" w:name="_Toc30061"/>
      <w:r>
        <w:rPr>
          <w:rFonts w:hint="eastAsia" w:ascii="仿宋" w:hAnsi="仿宋" w:eastAsia="仿宋" w:cs="仿宋"/>
          <w:b/>
          <w:bCs/>
          <w:sz w:val="32"/>
          <w:szCs w:val="32"/>
          <w:lang w:val="en-US" w:eastAsia="zh-CN"/>
        </w:rPr>
        <w:t>十九、</w:t>
      </w:r>
      <w:r>
        <w:rPr>
          <w:rFonts w:hint="eastAsia" w:ascii="仿宋" w:hAnsi="仿宋" w:eastAsia="仿宋" w:cs="仿宋"/>
          <w:b/>
          <w:bCs/>
          <w:sz w:val="32"/>
          <w:szCs w:val="32"/>
        </w:rPr>
        <w:t>竞买费用</w:t>
      </w:r>
      <w:bookmarkEnd w:id="15"/>
    </w:p>
    <w:p>
      <w:pPr>
        <w:numPr>
          <w:ilvl w:val="0"/>
          <w:numId w:val="10"/>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申请人为准备申请竞买资格而发生的一切费用均由申请人自行承担；</w:t>
      </w:r>
    </w:p>
    <w:p>
      <w:pPr>
        <w:numPr>
          <w:ilvl w:val="0"/>
          <w:numId w:val="10"/>
        </w:num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竞买人为准备竞买而发生的一切费用均由竞买人自行承担；</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（三）竞得人为竞得申请竞买采矿权而发生的一切费用包括但不限于因线下现场竞价而支出的佣金，均由竞得人承担；</w:t>
      </w:r>
    </w:p>
    <w:p>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（四）竞买人竞得采矿权后，在矿产资源开采过程中涉及土地、道路、用水、青苗补偿、安全生产、环境保护等事项，应当按照有关法律、法规的规定自行办理相关手续，涉及的税费由竞买人承担；</w:t>
      </w:r>
    </w:p>
    <w:p>
      <w:p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（五）挂牌成交采矿权出让收益不包括该采矿权在办理登记手续时，按法律规定应缴纳的其他费用。挂牌成交价即为该采矿权的出让收益。</w:t>
      </w:r>
    </w:p>
    <w:p>
      <w:pPr>
        <w:pStyle w:val="3"/>
        <w:widowControl/>
        <w:shd w:val="clear" w:color="auto" w:fill="FFFFFF"/>
        <w:spacing w:line="480" w:lineRule="atLeast"/>
        <w:ind w:firstLine="645"/>
        <w:rPr>
          <w:rFonts w:hint="eastAsia" w:ascii="仿宋" w:hAnsi="仿宋" w:eastAsia="仿宋" w:cs="仿宋"/>
          <w:b/>
          <w:bCs w:val="0"/>
          <w:color w:val="auto"/>
          <w:sz w:val="32"/>
          <w:szCs w:val="32"/>
        </w:rPr>
      </w:pPr>
      <w:r>
        <w:rPr>
          <w:rStyle w:val="6"/>
          <w:rFonts w:hint="eastAsia" w:ascii="仿宋" w:hAnsi="仿宋" w:eastAsia="仿宋" w:cs="仿宋"/>
          <w:b/>
          <w:bCs w:val="0"/>
          <w:color w:val="auto"/>
          <w:sz w:val="32"/>
          <w:szCs w:val="32"/>
          <w:shd w:val="clear" w:color="auto" w:fill="FFFFFF"/>
          <w:lang w:val="en-US" w:eastAsia="zh-CN"/>
        </w:rPr>
        <w:t>二十</w:t>
      </w:r>
      <w:r>
        <w:rPr>
          <w:rStyle w:val="6"/>
          <w:rFonts w:hint="eastAsia" w:ascii="仿宋" w:hAnsi="仿宋" w:eastAsia="仿宋" w:cs="仿宋"/>
          <w:b/>
          <w:bCs w:val="0"/>
          <w:color w:val="auto"/>
          <w:sz w:val="32"/>
          <w:szCs w:val="32"/>
          <w:shd w:val="clear" w:color="auto" w:fill="FFFFFF"/>
        </w:rPr>
        <w:t>、失信联合惩戒提示</w:t>
      </w:r>
    </w:p>
    <w:p>
      <w:pPr>
        <w:pStyle w:val="3"/>
        <w:widowControl/>
        <w:shd w:val="clear" w:color="auto" w:fill="FFFFFF"/>
        <w:spacing w:line="525" w:lineRule="atLeast"/>
        <w:ind w:firstLine="645"/>
        <w:rPr>
          <w:rFonts w:hint="eastAsia" w:ascii="仿宋" w:hAnsi="仿宋" w:eastAsia="仿宋" w:cs="仿宋"/>
          <w:color w:val="auto"/>
          <w:sz w:val="32"/>
          <w:szCs w:val="32"/>
        </w:rPr>
      </w:pPr>
      <w:r>
        <w:rPr>
          <w:rFonts w:hint="eastAsia" w:ascii="仿宋" w:hAnsi="仿宋" w:eastAsia="仿宋" w:cs="仿宋"/>
          <w:color w:val="auto"/>
          <w:sz w:val="32"/>
          <w:szCs w:val="32"/>
          <w:shd w:val="clear" w:color="auto" w:fill="FFFFFF"/>
        </w:rPr>
        <w:t>有下列情形之一的，视为竞得人违约，属自行放弃，且本次竞买无效。</w:t>
      </w:r>
    </w:p>
    <w:p>
      <w:pPr>
        <w:pStyle w:val="3"/>
        <w:widowControl/>
        <w:shd w:val="clear" w:color="auto" w:fill="FFFFFF"/>
        <w:spacing w:line="525" w:lineRule="atLeast"/>
        <w:ind w:firstLine="645"/>
        <w:rPr>
          <w:rFonts w:hint="eastAsia" w:ascii="仿宋" w:hAnsi="仿宋" w:eastAsia="仿宋" w:cs="仿宋"/>
          <w:color w:val="auto"/>
          <w:sz w:val="32"/>
          <w:szCs w:val="32"/>
        </w:rPr>
      </w:pPr>
      <w:r>
        <w:rPr>
          <w:rFonts w:hint="eastAsia" w:ascii="仿宋" w:hAnsi="仿宋" w:eastAsia="仿宋" w:cs="仿宋"/>
          <w:color w:val="auto"/>
          <w:sz w:val="32"/>
          <w:szCs w:val="32"/>
          <w:shd w:val="clear" w:color="auto" w:fill="FFFFFF"/>
        </w:rPr>
        <w:t>（一）竞得人拒绝签订《成交确认书》，逾期不签订或者拒绝签订《出让合同》的；</w:t>
      </w:r>
    </w:p>
    <w:p>
      <w:pPr>
        <w:pStyle w:val="3"/>
        <w:widowControl/>
        <w:shd w:val="clear" w:color="auto" w:fill="FFFFFF"/>
        <w:spacing w:line="480" w:lineRule="atLeast"/>
        <w:ind w:firstLine="645"/>
        <w:rPr>
          <w:rFonts w:hint="eastAsia" w:ascii="仿宋" w:hAnsi="仿宋" w:eastAsia="仿宋" w:cs="仿宋"/>
          <w:color w:val="auto"/>
          <w:sz w:val="32"/>
          <w:szCs w:val="32"/>
        </w:rPr>
      </w:pPr>
      <w:r>
        <w:rPr>
          <w:rFonts w:hint="eastAsia" w:ascii="仿宋" w:hAnsi="仿宋" w:eastAsia="仿宋" w:cs="仿宋"/>
          <w:color w:val="auto"/>
          <w:sz w:val="32"/>
          <w:szCs w:val="32"/>
          <w:shd w:val="clear" w:color="auto" w:fill="FFFFFF"/>
        </w:rPr>
        <w:t>（二）竞得人未按约定的时间缴纳约定的采矿权出让收益或者其他相关费用的；</w:t>
      </w:r>
    </w:p>
    <w:p>
      <w:pPr>
        <w:pStyle w:val="3"/>
        <w:widowControl/>
        <w:shd w:val="clear" w:color="auto" w:fill="FFFFFF"/>
        <w:spacing w:line="480" w:lineRule="atLeast"/>
        <w:ind w:firstLine="645"/>
        <w:rPr>
          <w:rFonts w:hint="eastAsia" w:ascii="仿宋" w:hAnsi="仿宋" w:eastAsia="仿宋" w:cs="仿宋"/>
          <w:color w:val="auto"/>
          <w:sz w:val="32"/>
          <w:szCs w:val="32"/>
        </w:rPr>
      </w:pPr>
      <w:r>
        <w:rPr>
          <w:rFonts w:hint="eastAsia" w:ascii="仿宋" w:hAnsi="仿宋" w:eastAsia="仿宋" w:cs="仿宋"/>
          <w:color w:val="auto"/>
          <w:sz w:val="32"/>
          <w:szCs w:val="32"/>
          <w:shd w:val="clear" w:color="auto" w:fill="FFFFFF"/>
        </w:rPr>
        <w:t>（三）竞得人提供虚假文件或者隐瞒事实的；</w:t>
      </w:r>
    </w:p>
    <w:p>
      <w:pPr>
        <w:pStyle w:val="3"/>
        <w:widowControl/>
        <w:shd w:val="clear" w:color="auto" w:fill="FFFFFF"/>
        <w:spacing w:line="480" w:lineRule="atLeast"/>
        <w:ind w:firstLine="645"/>
        <w:rPr>
          <w:rFonts w:hint="eastAsia" w:ascii="仿宋" w:hAnsi="仿宋" w:eastAsia="仿宋" w:cs="仿宋"/>
          <w:color w:val="auto"/>
          <w:sz w:val="32"/>
          <w:szCs w:val="32"/>
        </w:rPr>
      </w:pPr>
      <w:r>
        <w:rPr>
          <w:rFonts w:hint="eastAsia" w:ascii="仿宋" w:hAnsi="仿宋" w:eastAsia="仿宋" w:cs="仿宋"/>
          <w:color w:val="auto"/>
          <w:sz w:val="32"/>
          <w:szCs w:val="32"/>
          <w:shd w:val="clear" w:color="auto" w:fill="FFFFFF"/>
        </w:rPr>
        <w:t>（四）采取其他不正当手段竞得的；</w:t>
      </w:r>
    </w:p>
    <w:p>
      <w:pPr>
        <w:pStyle w:val="3"/>
        <w:widowControl/>
        <w:shd w:val="clear" w:color="auto" w:fill="FFFFFF"/>
        <w:spacing w:line="480" w:lineRule="atLeast"/>
        <w:ind w:firstLine="645"/>
        <w:rPr>
          <w:rFonts w:hint="eastAsia" w:ascii="仿宋" w:hAnsi="仿宋" w:eastAsia="仿宋" w:cs="仿宋"/>
          <w:color w:val="auto"/>
          <w:sz w:val="32"/>
          <w:szCs w:val="32"/>
        </w:rPr>
      </w:pPr>
      <w:r>
        <w:rPr>
          <w:rFonts w:hint="eastAsia" w:ascii="仿宋" w:hAnsi="仿宋" w:eastAsia="仿宋" w:cs="仿宋"/>
          <w:color w:val="auto"/>
          <w:sz w:val="32"/>
          <w:szCs w:val="32"/>
          <w:shd w:val="clear" w:color="auto" w:fill="FFFFFF"/>
        </w:rPr>
        <w:t>（五）在本次采矿权出让活动中以抬高竞价为由向其他竞买人勒索财物的，一经查实，取消其此次竞买资格。</w:t>
      </w:r>
    </w:p>
    <w:p>
      <w:pPr>
        <w:pStyle w:val="3"/>
        <w:widowControl/>
        <w:shd w:val="clear" w:color="auto" w:fill="FFFFFF"/>
        <w:spacing w:line="480" w:lineRule="atLeast"/>
        <w:ind w:firstLine="645"/>
        <w:rPr>
          <w:rFonts w:hint="eastAsia" w:ascii="仿宋" w:hAnsi="仿宋" w:eastAsia="仿宋" w:cs="仿宋"/>
          <w:color w:val="auto"/>
          <w:sz w:val="32"/>
          <w:szCs w:val="32"/>
        </w:rPr>
      </w:pPr>
      <w:r>
        <w:rPr>
          <w:rFonts w:hint="eastAsia" w:ascii="仿宋" w:hAnsi="仿宋" w:eastAsia="仿宋" w:cs="仿宋"/>
          <w:color w:val="auto"/>
          <w:sz w:val="32"/>
          <w:szCs w:val="32"/>
          <w:shd w:val="clear" w:color="auto" w:fill="FFFFFF"/>
        </w:rPr>
        <w:t>（六）其他依法应当认定为违约行为的情形。</w:t>
      </w:r>
    </w:p>
    <w:p>
      <w:pPr>
        <w:pStyle w:val="3"/>
        <w:widowControl/>
        <w:shd w:val="clear" w:color="auto" w:fill="FFFFFF"/>
        <w:spacing w:line="480" w:lineRule="atLeast"/>
        <w:ind w:firstLine="645"/>
        <w:rPr>
          <w:rFonts w:hint="eastAsia" w:ascii="仿宋" w:hAnsi="仿宋" w:eastAsia="仿宋" w:cs="仿宋"/>
          <w:color w:val="auto"/>
          <w:sz w:val="32"/>
          <w:szCs w:val="32"/>
          <w:shd w:val="clear" w:color="auto" w:fill="FFFFFF"/>
        </w:rPr>
      </w:pPr>
      <w:r>
        <w:rPr>
          <w:rFonts w:hint="eastAsia" w:ascii="仿宋" w:hAnsi="仿宋" w:eastAsia="仿宋" w:cs="仿宋"/>
          <w:color w:val="auto"/>
          <w:sz w:val="32"/>
          <w:szCs w:val="32"/>
          <w:shd w:val="clear" w:color="auto" w:fill="FFFFFF"/>
        </w:rPr>
        <w:t>交易过程中发生争议，有争议当事人协商解决，协商不成的，依法向有管辖权的人民法院提起行政诉讼。</w:t>
      </w:r>
    </w:p>
    <w:p>
      <w:pPr>
        <w:pStyle w:val="3"/>
        <w:widowControl/>
        <w:shd w:val="clear" w:color="auto" w:fill="FFFFFF"/>
        <w:spacing w:line="480" w:lineRule="atLeast"/>
        <w:ind w:firstLine="645"/>
        <w:rPr>
          <w:rFonts w:hint="eastAsia" w:ascii="仿宋" w:hAnsi="仿宋" w:eastAsia="仿宋" w:cs="仿宋"/>
          <w:color w:val="auto"/>
          <w:sz w:val="32"/>
          <w:szCs w:val="32"/>
          <w:shd w:val="clear" w:color="auto" w:fill="FFFFFF"/>
          <w:lang w:val="en-US" w:eastAsia="zh-CN"/>
        </w:rPr>
      </w:pPr>
      <w:r>
        <w:rPr>
          <w:rFonts w:hint="eastAsia" w:ascii="仿宋" w:hAnsi="仿宋" w:eastAsia="仿宋" w:cs="仿宋"/>
          <w:color w:val="auto"/>
          <w:sz w:val="32"/>
          <w:szCs w:val="32"/>
          <w:shd w:val="clear" w:color="auto" w:fill="FFFFFF"/>
          <w:lang w:val="en-US" w:eastAsia="zh-CN"/>
        </w:rPr>
        <w:t>按照</w:t>
      </w:r>
      <w:r>
        <w:rPr>
          <w:rFonts w:hint="eastAsia" w:ascii="仿宋" w:hAnsi="仿宋" w:eastAsia="仿宋" w:cs="仿宋"/>
          <w:color w:val="000000"/>
          <w:sz w:val="32"/>
          <w:szCs w:val="32"/>
        </w:rPr>
        <w:t>《自然资源部关于印发矿业权出让交易规则的通知》（</w:t>
      </w:r>
      <w:r>
        <w:rPr>
          <w:rFonts w:hint="eastAsia" w:ascii="仿宋" w:hAnsi="仿宋" w:eastAsia="仿宋" w:cs="仿宋"/>
          <w:color w:val="333333"/>
          <w:sz w:val="32"/>
          <w:szCs w:val="32"/>
        </w:rPr>
        <w:t>自然资规〔2023〕1号）</w:t>
      </w:r>
      <w:r>
        <w:rPr>
          <w:rFonts w:hint="eastAsia" w:ascii="仿宋" w:hAnsi="仿宋" w:eastAsia="仿宋" w:cs="仿宋"/>
          <w:color w:val="333333"/>
          <w:sz w:val="32"/>
          <w:szCs w:val="32"/>
          <w:lang w:val="en-US" w:eastAsia="zh-CN"/>
        </w:rPr>
        <w:t>要求进行惩戒。</w:t>
      </w:r>
    </w:p>
    <w:p>
      <w:pPr>
        <w:numPr>
          <w:ilvl w:val="0"/>
          <w:numId w:val="0"/>
        </w:numPr>
        <w:spacing w:line="500" w:lineRule="exact"/>
        <w:ind w:firstLine="643" w:firstLineChars="200"/>
        <w:outlineLvl w:val="0"/>
        <w:rPr>
          <w:rFonts w:hint="eastAsia" w:ascii="仿宋" w:hAnsi="仿宋" w:eastAsia="仿宋" w:cs="仿宋"/>
        </w:rPr>
      </w:pPr>
      <w:r>
        <w:rPr>
          <w:rStyle w:val="6"/>
          <w:rFonts w:hint="eastAsia" w:ascii="仿宋" w:hAnsi="仿宋" w:eastAsia="仿宋" w:cs="仿宋"/>
          <w:color w:val="000000"/>
          <w:sz w:val="32"/>
          <w:szCs w:val="32"/>
          <w:shd w:val="clear" w:color="auto" w:fill="FFFFFF"/>
          <w:lang w:val="en-US" w:eastAsia="zh-CN"/>
        </w:rPr>
        <w:t>二十一、</w:t>
      </w:r>
      <w:r>
        <w:rPr>
          <w:rStyle w:val="6"/>
          <w:rFonts w:hint="eastAsia" w:ascii="仿宋" w:hAnsi="仿宋" w:eastAsia="仿宋" w:cs="仿宋"/>
          <w:color w:val="000000"/>
          <w:sz w:val="32"/>
          <w:szCs w:val="32"/>
          <w:shd w:val="clear" w:color="auto" w:fill="FFFFFF"/>
        </w:rPr>
        <w:t>其他内容</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（一）公告在自然资源部门户网站、内蒙古自治区自然资源网上交易系统、扎兰屯市人民政府网站同时发布。公告时间内如有其他变更事项，出让人将及时发布补充公告，补充公告与本公告具有同等效力。</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公告网站：</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自然资源部门户网站</w:t>
      </w:r>
    </w:p>
    <w:p>
      <w:pPr>
        <w:pStyle w:val="3"/>
        <w:widowControl/>
        <w:shd w:val="clear" w:color="auto" w:fill="FFFFFF"/>
        <w:spacing w:line="480" w:lineRule="atLeast"/>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"http://www.mnr.gov.cn/" </w:instrText>
      </w:r>
      <w:r>
        <w:rPr>
          <w:rFonts w:hint="eastAsia" w:ascii="仿宋" w:hAnsi="仿宋" w:eastAsia="仿宋" w:cs="仿宋"/>
          <w:sz w:val="32"/>
          <w:szCs w:val="32"/>
        </w:rPr>
        <w:fldChar w:fldCharType="separate"/>
      </w:r>
      <w:r>
        <w:rPr>
          <w:rStyle w:val="9"/>
          <w:rFonts w:hint="eastAsia" w:ascii="仿宋" w:hAnsi="仿宋" w:eastAsia="仿宋" w:cs="仿宋"/>
          <w:color w:val="000000"/>
          <w:sz w:val="32"/>
          <w:szCs w:val="32"/>
          <w:shd w:val="clear" w:color="auto" w:fill="FFFFFF"/>
        </w:rPr>
        <w:t>http://www.mnr.gov.cn</w:t>
      </w:r>
      <w:r>
        <w:rPr>
          <w:rStyle w:val="9"/>
          <w:rFonts w:hint="eastAsia" w:ascii="仿宋" w:hAnsi="仿宋" w:eastAsia="仿宋" w:cs="仿宋"/>
          <w:color w:val="000000"/>
          <w:sz w:val="32"/>
          <w:szCs w:val="32"/>
          <w:shd w:val="clear" w:color="auto" w:fill="FFFFFF"/>
        </w:rPr>
        <w:fldChar w:fldCharType="end"/>
      </w:r>
      <w:r>
        <w:rPr>
          <w:rStyle w:val="9"/>
          <w:rFonts w:hint="eastAsia" w:ascii="仿宋" w:hAnsi="仿宋" w:eastAsia="仿宋" w:cs="仿宋"/>
          <w:color w:val="000000"/>
          <w:sz w:val="32"/>
          <w:szCs w:val="32"/>
          <w:shd w:val="clear" w:color="auto" w:fill="FFFFFF"/>
        </w:rPr>
        <w:t>/</w:t>
      </w:r>
      <w:r>
        <w:rPr>
          <w:rFonts w:hint="eastAsia" w:ascii="仿宋" w:hAnsi="仿宋" w:eastAsia="仿宋" w:cs="仿宋"/>
          <w:color w:val="000000"/>
          <w:sz w:val="32"/>
          <w:szCs w:val="32"/>
          <w:shd w:val="clear" w:color="auto" w:fill="FFFFFF"/>
        </w:rPr>
        <w:t>）</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内蒙古自治区自然资源网上交易系统（http://219.159.12.165:8090/trade-engine/trade/index）</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扎兰屯市人民政府官网</w:t>
      </w:r>
    </w:p>
    <w:p>
      <w:pPr>
        <w:pStyle w:val="3"/>
        <w:widowControl/>
        <w:shd w:val="clear" w:color="auto" w:fill="FFFFFF"/>
        <w:spacing w:line="480" w:lineRule="atLeast"/>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（http://www.zhalantun.gov.cn/）</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（二）申请竞买资格的截止时间和交纳竞买保证金的截止时间均为2024年11月22日16时。</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（三）申请人须使用CA锁登录网上交易系统，并及时足额交纳竞买保证金，竞买保证金交纳时间以银行到账时间为准。交易系统自动颁发的《矿业权挂牌出让竞买资格确认书》作为申请人参与竞买的有效凭证。</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（四）申请人的基本账户是公共资源交易服务中心代收代退竞买保证金的唯一账户。</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（五）出让方对本次挂牌采矿权不另行组织踏勘，竞买人可在公告期间自行踏勘现场。</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六）竞得人逾期不签订或拒绝签订《成交确认书》和《采矿权出让合同》的，视为竞得人放弃竞得采矿权，保证金不予退还，并承担相应法律责任；逾期不缴纳或拒绝缴纳采矿权出让收益的视为竞得人放弃竞得采矿权，保证金不予退还，并承担相应法律责任。</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（七）竞得人办结自然资源局、林业和草原局、应急管理局、生态环境局、水利局等部门行政许可手续后方可生产建设。</w:t>
      </w:r>
    </w:p>
    <w:p>
      <w:pPr>
        <w:pStyle w:val="3"/>
        <w:widowControl/>
        <w:shd w:val="clear" w:color="auto" w:fill="FFFFFF"/>
        <w:spacing w:line="480" w:lineRule="atLeast"/>
        <w:ind w:firstLine="645"/>
        <w:rPr>
          <w:rFonts w:hint="eastAsia" w:ascii="仿宋" w:hAnsi="仿宋" w:eastAsia="仿宋" w:cs="仿宋"/>
          <w:color w:val="000000"/>
          <w:sz w:val="32"/>
          <w:szCs w:val="32"/>
          <w:shd w:val="clear" w:color="auto" w:fill="FFFFFF"/>
        </w:rPr>
      </w:pPr>
      <w:r>
        <w:rPr>
          <w:rFonts w:hint="eastAsia" w:ascii="仿宋" w:hAnsi="仿宋" w:eastAsia="仿宋" w:cs="仿宋"/>
          <w:color w:val="000000"/>
          <w:sz w:val="32"/>
          <w:szCs w:val="32"/>
          <w:shd w:val="clear" w:color="auto" w:fill="FFFFFF"/>
        </w:rPr>
        <w:t>（八）若竞买申请人为非本市注册登记的企业，在竞得采矿权后，必须在本市市场监督管理部门注册具有独立企业法人资格的公司，并以该公司名义办理采矿权出让与登记发证手续，新成立公司必须是竞得人的全资子公司；出让人根据挂牌出让结果，在竞得人按约定办理完新公司注册登记手续后，再与新公司签订《采矿权出让同》。 </w:t>
      </w:r>
    </w:p>
    <w:p>
      <w:p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（一）《出让公告》是本文件的有效组成部分。</w:t>
      </w:r>
    </w:p>
    <w:p>
      <w:pPr>
        <w:spacing w:line="5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（二）</w:t>
      </w:r>
      <w:r>
        <w:rPr>
          <w:rFonts w:hint="eastAsia" w:ascii="仿宋" w:hAnsi="仿宋" w:eastAsia="仿宋" w:cs="仿宋"/>
          <w:sz w:val="32"/>
          <w:szCs w:val="32"/>
          <w:lang w:val="en-US" w:eastAsia="zh-CN"/>
        </w:rPr>
        <w:t>扎兰屯</w:t>
      </w:r>
      <w:r>
        <w:rPr>
          <w:rFonts w:hint="eastAsia" w:ascii="仿宋" w:hAnsi="仿宋" w:eastAsia="仿宋" w:cs="仿宋"/>
          <w:sz w:val="32"/>
          <w:szCs w:val="32"/>
        </w:rPr>
        <w:t>市自然资源局保留对挂牌</w:t>
      </w:r>
      <w:r>
        <w:rPr>
          <w:rFonts w:hint="eastAsia" w:ascii="仿宋" w:hAnsi="仿宋" w:eastAsia="仿宋" w:cs="仿宋"/>
          <w:sz w:val="32"/>
          <w:szCs w:val="32"/>
          <w:lang w:val="en-US" w:eastAsia="zh-CN"/>
        </w:rPr>
        <w:t>出让须知和挂牌公告</w:t>
      </w:r>
      <w:r>
        <w:rPr>
          <w:rFonts w:hint="eastAsia" w:ascii="仿宋" w:hAnsi="仿宋" w:eastAsia="仿宋" w:cs="仿宋"/>
          <w:sz w:val="32"/>
          <w:szCs w:val="32"/>
        </w:rPr>
        <w:t>的解释权。</w:t>
      </w:r>
    </w:p>
    <w:p>
      <w:pPr>
        <w:pStyle w:val="3"/>
        <w:widowControl/>
        <w:shd w:val="clear" w:color="auto" w:fill="FFFFFF"/>
        <w:spacing w:line="480" w:lineRule="atLeast"/>
        <w:ind w:firstLine="643" w:firstLineChars="200"/>
        <w:rPr>
          <w:rFonts w:hint="eastAsia" w:ascii="仿宋" w:hAnsi="仿宋" w:eastAsia="仿宋" w:cs="仿宋"/>
          <w:sz w:val="32"/>
          <w:szCs w:val="32"/>
        </w:rPr>
      </w:pPr>
      <w:r>
        <w:rPr>
          <w:rStyle w:val="6"/>
          <w:rFonts w:hint="eastAsia" w:ascii="仿宋" w:hAnsi="仿宋" w:eastAsia="仿宋" w:cs="仿宋"/>
          <w:color w:val="000000"/>
          <w:sz w:val="32"/>
          <w:szCs w:val="32"/>
          <w:shd w:val="clear" w:color="auto" w:fill="FFFFFF"/>
          <w:lang w:val="en-US" w:eastAsia="zh-CN"/>
        </w:rPr>
        <w:t>二十二、</w:t>
      </w:r>
      <w:r>
        <w:rPr>
          <w:rStyle w:val="6"/>
          <w:rFonts w:hint="eastAsia" w:ascii="仿宋" w:hAnsi="仿宋" w:eastAsia="仿宋" w:cs="仿宋"/>
          <w:color w:val="000000"/>
          <w:sz w:val="32"/>
          <w:szCs w:val="32"/>
          <w:shd w:val="clear" w:color="auto" w:fill="FFFFFF"/>
        </w:rPr>
        <w:t>联系方式</w:t>
      </w:r>
    </w:p>
    <w:p>
      <w:pPr>
        <w:pStyle w:val="3"/>
        <w:widowControl/>
        <w:shd w:val="clear" w:color="auto" w:fill="FFFFFF"/>
        <w:spacing w:line="480" w:lineRule="atLeast"/>
        <w:ind w:firstLine="645"/>
        <w:rPr>
          <w:rFonts w:hint="eastAsia" w:ascii="仿宋" w:hAnsi="仿宋" w:eastAsia="仿宋" w:cs="仿宋"/>
          <w:sz w:val="32"/>
          <w:szCs w:val="32"/>
        </w:rPr>
      </w:pPr>
      <w:r>
        <w:rPr>
          <w:rFonts w:hint="eastAsia" w:ascii="仿宋" w:hAnsi="仿宋" w:eastAsia="仿宋" w:cs="仿宋"/>
          <w:color w:val="000000"/>
          <w:sz w:val="32"/>
          <w:szCs w:val="32"/>
          <w:shd w:val="clear" w:color="auto" w:fill="FFFFFF"/>
        </w:rPr>
        <w:t>扎兰屯市自然资源局联系人：迟先生</w:t>
      </w:r>
    </w:p>
    <w:p>
      <w:pPr>
        <w:pStyle w:val="3"/>
        <w:widowControl/>
        <w:shd w:val="clear" w:color="auto" w:fill="FFFFFF"/>
        <w:spacing w:line="480" w:lineRule="atLeast"/>
        <w:ind w:firstLine="645"/>
        <w:rPr>
          <w:rFonts w:hint="eastAsia" w:ascii="仿宋" w:hAnsi="仿宋" w:eastAsia="仿宋" w:cs="仿宋"/>
          <w:b/>
          <w:bCs/>
          <w:sz w:val="32"/>
          <w:szCs w:val="32"/>
        </w:rPr>
      </w:pPr>
      <w:r>
        <w:rPr>
          <w:rFonts w:hint="eastAsia" w:ascii="仿宋" w:hAnsi="仿宋" w:eastAsia="仿宋" w:cs="仿宋"/>
          <w:color w:val="000000"/>
          <w:sz w:val="32"/>
          <w:szCs w:val="32"/>
          <w:shd w:val="clear" w:color="auto" w:fill="FFFFFF"/>
        </w:rPr>
        <w:t>联系电话：0470－3209277</w:t>
      </w:r>
    </w:p>
    <w:p>
      <w:pPr>
        <w:pStyle w:val="3"/>
        <w:widowControl/>
        <w:shd w:val="clear" w:color="auto" w:fill="FFFFFF"/>
        <w:spacing w:line="480" w:lineRule="atLeast"/>
        <w:ind w:firstLine="5270" w:firstLineChars="1700"/>
        <w:jc w:val="both"/>
        <w:rPr>
          <w:rFonts w:hint="eastAsia" w:ascii="仿宋" w:hAnsi="仿宋" w:eastAsia="仿宋" w:cs="仿宋"/>
          <w:sz w:val="32"/>
          <w:szCs w:val="32"/>
          <w:lang w:val="en-US" w:eastAsia="zh-CN"/>
        </w:rPr>
      </w:pPr>
      <w:bookmarkStart w:id="16" w:name="_Hlk139893225"/>
      <w:bookmarkEnd w:id="16"/>
      <w:r>
        <w:rPr>
          <w:rFonts w:hint="eastAsia" w:ascii="仿宋" w:hAnsi="仿宋" w:eastAsia="仿宋" w:cs="仿宋"/>
          <w:color w:val="000000"/>
          <w:sz w:val="31"/>
          <w:szCs w:val="31"/>
          <w:shd w:val="clear" w:color="auto" w:fill="FFFFFF"/>
        </w:rPr>
        <w:t>2024年10月28日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09D825"/>
    <w:multiLevelType w:val="singleLevel"/>
    <w:tmpl w:val="8009D825"/>
    <w:lvl w:ilvl="0" w:tentative="0">
      <w:start w:val="1"/>
      <w:numFmt w:val="chineseCounting"/>
      <w:suff w:val="nothing"/>
      <w:lvlText w:val="（%1）"/>
      <w:lvlJc w:val="left"/>
      <w:rPr>
        <w:rFonts w:hint="eastAsia"/>
      </w:rPr>
    </w:lvl>
  </w:abstractNum>
  <w:abstractNum w:abstractNumId="1">
    <w:nsid w:val="8808BAE7"/>
    <w:multiLevelType w:val="singleLevel"/>
    <w:tmpl w:val="8808BAE7"/>
    <w:lvl w:ilvl="0" w:tentative="0">
      <w:start w:val="4"/>
      <w:numFmt w:val="chineseCounting"/>
      <w:suff w:val="nothing"/>
      <w:lvlText w:val="%1、"/>
      <w:lvlJc w:val="left"/>
      <w:rPr>
        <w:rFonts w:hint="eastAsia"/>
      </w:rPr>
    </w:lvl>
  </w:abstractNum>
  <w:abstractNum w:abstractNumId="2">
    <w:nsid w:val="A8D1DBF4"/>
    <w:multiLevelType w:val="singleLevel"/>
    <w:tmpl w:val="A8D1DBF4"/>
    <w:lvl w:ilvl="0" w:tentative="0">
      <w:start w:val="1"/>
      <w:numFmt w:val="decimal"/>
      <w:suff w:val="nothing"/>
      <w:lvlText w:val="%1、"/>
      <w:lvlJc w:val="left"/>
    </w:lvl>
  </w:abstractNum>
  <w:abstractNum w:abstractNumId="3">
    <w:nsid w:val="D27640C7"/>
    <w:multiLevelType w:val="singleLevel"/>
    <w:tmpl w:val="D27640C7"/>
    <w:lvl w:ilvl="0" w:tentative="0">
      <w:start w:val="1"/>
      <w:numFmt w:val="chineseCounting"/>
      <w:suff w:val="nothing"/>
      <w:lvlText w:val="（%1）"/>
      <w:lvlJc w:val="left"/>
      <w:rPr>
        <w:rFonts w:hint="eastAsia"/>
      </w:rPr>
    </w:lvl>
  </w:abstractNum>
  <w:abstractNum w:abstractNumId="4">
    <w:nsid w:val="0F9F5C2B"/>
    <w:multiLevelType w:val="singleLevel"/>
    <w:tmpl w:val="0F9F5C2B"/>
    <w:lvl w:ilvl="0" w:tentative="0">
      <w:start w:val="1"/>
      <w:numFmt w:val="decimalFullWidth"/>
      <w:suff w:val="nothing"/>
      <w:lvlText w:val="（%1）"/>
      <w:lvlJc w:val="left"/>
      <w:rPr>
        <w:rFonts w:hint="eastAsia"/>
      </w:rPr>
    </w:lvl>
  </w:abstractNum>
  <w:abstractNum w:abstractNumId="5">
    <w:nsid w:val="13A05E7C"/>
    <w:multiLevelType w:val="singleLevel"/>
    <w:tmpl w:val="13A05E7C"/>
    <w:lvl w:ilvl="0" w:tentative="0">
      <w:start w:val="2"/>
      <w:numFmt w:val="decimalFullWidth"/>
      <w:suff w:val="nothing"/>
      <w:lvlText w:val="%1、"/>
      <w:lvlJc w:val="left"/>
      <w:rPr>
        <w:rFonts w:hint="eastAsia"/>
      </w:rPr>
    </w:lvl>
  </w:abstractNum>
  <w:abstractNum w:abstractNumId="6">
    <w:nsid w:val="24ADC981"/>
    <w:multiLevelType w:val="singleLevel"/>
    <w:tmpl w:val="24ADC981"/>
    <w:lvl w:ilvl="0" w:tentative="0">
      <w:start w:val="1"/>
      <w:numFmt w:val="decimalFullWidth"/>
      <w:suff w:val="nothing"/>
      <w:lvlText w:val="（%1）"/>
      <w:lvlJc w:val="left"/>
      <w:rPr>
        <w:rFonts w:hint="eastAsia"/>
      </w:rPr>
    </w:lvl>
  </w:abstractNum>
  <w:abstractNum w:abstractNumId="7">
    <w:nsid w:val="40A357B8"/>
    <w:multiLevelType w:val="singleLevel"/>
    <w:tmpl w:val="40A357B8"/>
    <w:lvl w:ilvl="0" w:tentative="0">
      <w:start w:val="1"/>
      <w:numFmt w:val="decimal"/>
      <w:suff w:val="nothing"/>
      <w:lvlText w:val="%1、"/>
      <w:lvlJc w:val="left"/>
    </w:lvl>
  </w:abstractNum>
  <w:abstractNum w:abstractNumId="8">
    <w:nsid w:val="516DD730"/>
    <w:multiLevelType w:val="singleLevel"/>
    <w:tmpl w:val="516DD730"/>
    <w:lvl w:ilvl="0" w:tentative="0">
      <w:start w:val="1"/>
      <w:numFmt w:val="chineseCounting"/>
      <w:suff w:val="nothing"/>
      <w:lvlText w:val="（%1）"/>
      <w:lvlJc w:val="left"/>
      <w:rPr>
        <w:rFonts w:hint="eastAsia"/>
      </w:rPr>
    </w:lvl>
  </w:abstractNum>
  <w:abstractNum w:abstractNumId="9">
    <w:nsid w:val="67002ED5"/>
    <w:multiLevelType w:val="singleLevel"/>
    <w:tmpl w:val="67002ED5"/>
    <w:lvl w:ilvl="0" w:tentative="0">
      <w:start w:val="1"/>
      <w:numFmt w:val="chineseCounting"/>
      <w:suff w:val="nothing"/>
      <w:lvlText w:val="（%1）"/>
      <w:lvlJc w:val="left"/>
      <w:rPr>
        <w:rFonts w:hint="eastAsia"/>
      </w:rPr>
    </w:lvl>
  </w:abstractNum>
  <w:num w:numId="1">
    <w:abstractNumId w:val="1"/>
  </w:num>
  <w:num w:numId="2">
    <w:abstractNumId w:val="3"/>
  </w:num>
  <w:num w:numId="3">
    <w:abstractNumId w:val="6"/>
  </w:num>
  <w:num w:numId="4">
    <w:abstractNumId w:val="4"/>
  </w:num>
  <w:num w:numId="5">
    <w:abstractNumId w:val="2"/>
  </w:num>
  <w:num w:numId="6">
    <w:abstractNumId w:val="5"/>
  </w:num>
  <w:num w:numId="7">
    <w:abstractNumId w:val="0"/>
  </w:num>
  <w:num w:numId="8">
    <w:abstractNumId w:val="9"/>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1Nzc5NTRkNmZkY2NiMjVjZDQxMzk3ZGNhMDYyMzgifQ=="/>
  </w:docVars>
  <w:rsids>
    <w:rsidRoot w:val="3C1C55C2"/>
    <w:rsid w:val="00023995"/>
    <w:rsid w:val="00BF419F"/>
    <w:rsid w:val="05B12A7C"/>
    <w:rsid w:val="05D26657"/>
    <w:rsid w:val="073F47B7"/>
    <w:rsid w:val="0994719F"/>
    <w:rsid w:val="09FA15A7"/>
    <w:rsid w:val="0A073B1D"/>
    <w:rsid w:val="0AA124C8"/>
    <w:rsid w:val="0B8D5299"/>
    <w:rsid w:val="0DDB4529"/>
    <w:rsid w:val="0EEC313E"/>
    <w:rsid w:val="0F6607BD"/>
    <w:rsid w:val="109C5172"/>
    <w:rsid w:val="12090C42"/>
    <w:rsid w:val="13807803"/>
    <w:rsid w:val="13E416E2"/>
    <w:rsid w:val="145A37F6"/>
    <w:rsid w:val="16644815"/>
    <w:rsid w:val="177559BF"/>
    <w:rsid w:val="179A0F50"/>
    <w:rsid w:val="18043949"/>
    <w:rsid w:val="191A341D"/>
    <w:rsid w:val="19840C38"/>
    <w:rsid w:val="1B285999"/>
    <w:rsid w:val="1C1714F4"/>
    <w:rsid w:val="1C1B681B"/>
    <w:rsid w:val="1DA11F71"/>
    <w:rsid w:val="1DA15304"/>
    <w:rsid w:val="1FE42191"/>
    <w:rsid w:val="204B759A"/>
    <w:rsid w:val="218F3BE8"/>
    <w:rsid w:val="23614B74"/>
    <w:rsid w:val="25472AF8"/>
    <w:rsid w:val="274E111F"/>
    <w:rsid w:val="2754321C"/>
    <w:rsid w:val="2BCE39D4"/>
    <w:rsid w:val="2CAC58DE"/>
    <w:rsid w:val="2D3C6357"/>
    <w:rsid w:val="2ED90741"/>
    <w:rsid w:val="31F12897"/>
    <w:rsid w:val="34565AB9"/>
    <w:rsid w:val="366304F5"/>
    <w:rsid w:val="368C27DF"/>
    <w:rsid w:val="37FC2E38"/>
    <w:rsid w:val="3A865119"/>
    <w:rsid w:val="3BA47A0E"/>
    <w:rsid w:val="3C146027"/>
    <w:rsid w:val="3C1C55C2"/>
    <w:rsid w:val="3FBD4569"/>
    <w:rsid w:val="420003BA"/>
    <w:rsid w:val="42156C37"/>
    <w:rsid w:val="430A51EC"/>
    <w:rsid w:val="43380CAC"/>
    <w:rsid w:val="467974C7"/>
    <w:rsid w:val="4B1C41A2"/>
    <w:rsid w:val="4BC72B73"/>
    <w:rsid w:val="4BCD654D"/>
    <w:rsid w:val="4DBE235A"/>
    <w:rsid w:val="4E5E2CC5"/>
    <w:rsid w:val="4E8D3056"/>
    <w:rsid w:val="4F786EE4"/>
    <w:rsid w:val="507A3457"/>
    <w:rsid w:val="50A21E7F"/>
    <w:rsid w:val="50A44C6D"/>
    <w:rsid w:val="525C4692"/>
    <w:rsid w:val="53F20A2E"/>
    <w:rsid w:val="55C568BC"/>
    <w:rsid w:val="56115477"/>
    <w:rsid w:val="59AF7595"/>
    <w:rsid w:val="59C95E1F"/>
    <w:rsid w:val="5A2216C8"/>
    <w:rsid w:val="5E3A7DE0"/>
    <w:rsid w:val="5E9F2486"/>
    <w:rsid w:val="601D2BFE"/>
    <w:rsid w:val="60244BCA"/>
    <w:rsid w:val="626B3F1C"/>
    <w:rsid w:val="62B14FA1"/>
    <w:rsid w:val="62C825BB"/>
    <w:rsid w:val="63AF0E0D"/>
    <w:rsid w:val="65263A6C"/>
    <w:rsid w:val="65D07891"/>
    <w:rsid w:val="67C160B2"/>
    <w:rsid w:val="684A146D"/>
    <w:rsid w:val="68DD1C61"/>
    <w:rsid w:val="69F25EE9"/>
    <w:rsid w:val="6A105852"/>
    <w:rsid w:val="6A9356C9"/>
    <w:rsid w:val="6AC76D2E"/>
    <w:rsid w:val="6AE76F09"/>
    <w:rsid w:val="6B197928"/>
    <w:rsid w:val="6C1A126B"/>
    <w:rsid w:val="6C387106"/>
    <w:rsid w:val="6E0502A5"/>
    <w:rsid w:val="6F334886"/>
    <w:rsid w:val="73FD00CD"/>
    <w:rsid w:val="742C3142"/>
    <w:rsid w:val="749F41A5"/>
    <w:rsid w:val="7561386F"/>
    <w:rsid w:val="779D2432"/>
    <w:rsid w:val="79B53A2A"/>
    <w:rsid w:val="7AA35356"/>
    <w:rsid w:val="7B79667C"/>
    <w:rsid w:val="7EC808B7"/>
    <w:rsid w:val="7ED313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FollowedHyperlink"/>
    <w:basedOn w:val="5"/>
    <w:qFormat/>
    <w:uiPriority w:val="0"/>
    <w:rPr>
      <w:color w:val="337AB7"/>
      <w:u w:val="none"/>
    </w:rPr>
  </w:style>
  <w:style w:type="character" w:styleId="8">
    <w:name w:val="HTML Definition"/>
    <w:basedOn w:val="5"/>
    <w:qFormat/>
    <w:uiPriority w:val="0"/>
    <w:rPr>
      <w:i/>
    </w:rPr>
  </w:style>
  <w:style w:type="character" w:styleId="9">
    <w:name w:val="Hyperlink"/>
    <w:basedOn w:val="5"/>
    <w:qFormat/>
    <w:uiPriority w:val="0"/>
    <w:rPr>
      <w:color w:val="337AB7"/>
      <w:u w:val="none"/>
    </w:rPr>
  </w:style>
  <w:style w:type="character" w:styleId="10">
    <w:name w:val="HTML Code"/>
    <w:basedOn w:val="5"/>
    <w:qFormat/>
    <w:uiPriority w:val="0"/>
    <w:rPr>
      <w:rFonts w:hint="default" w:ascii="Consolas" w:hAnsi="Consolas" w:eastAsia="Consolas" w:cs="Consolas"/>
      <w:color w:val="C7254E"/>
      <w:sz w:val="21"/>
      <w:szCs w:val="21"/>
      <w:shd w:val="clear" w:fill="F9F2F4"/>
    </w:rPr>
  </w:style>
  <w:style w:type="character" w:styleId="11">
    <w:name w:val="HTML Keyboard"/>
    <w:basedOn w:val="5"/>
    <w:qFormat/>
    <w:uiPriority w:val="0"/>
    <w:rPr>
      <w:rFonts w:ascii="Consolas" w:hAnsi="Consolas" w:eastAsia="Consolas" w:cs="Consolas"/>
      <w:color w:val="FFFFFF"/>
      <w:sz w:val="21"/>
      <w:szCs w:val="21"/>
      <w:shd w:val="clear" w:fill="333333"/>
    </w:rPr>
  </w:style>
  <w:style w:type="character" w:styleId="12">
    <w:name w:val="HTML Sample"/>
    <w:basedOn w:val="5"/>
    <w:qFormat/>
    <w:uiPriority w:val="0"/>
    <w:rPr>
      <w:rFonts w:hint="default" w:ascii="Consolas" w:hAnsi="Consolas" w:eastAsia="Consolas" w:cs="Consolas"/>
      <w:sz w:val="21"/>
      <w:szCs w:val="21"/>
    </w:rPr>
  </w:style>
  <w:style w:type="character" w:customStyle="1" w:styleId="13">
    <w:name w:val="hover7"/>
    <w:basedOn w:val="5"/>
    <w:qFormat/>
    <w:uiPriority w:val="0"/>
    <w:rPr>
      <w:shd w:val="clear" w:fill="F3F3F3"/>
    </w:rPr>
  </w:style>
  <w:style w:type="character" w:customStyle="1" w:styleId="14">
    <w:name w:val="hover8"/>
    <w:basedOn w:val="5"/>
    <w:qFormat/>
    <w:uiPriority w:val="0"/>
    <w:rPr>
      <w:shd w:val="clear" w:fill="F3F3F3"/>
    </w:rPr>
  </w:style>
  <w:style w:type="character" w:customStyle="1" w:styleId="15">
    <w:name w:val="hover9"/>
    <w:basedOn w:val="5"/>
    <w:qFormat/>
    <w:uiPriority w:val="0"/>
    <w:rPr>
      <w:sz w:val="21"/>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3483</Words>
  <Characters>3612</Characters>
  <Lines>0</Lines>
  <Paragraphs>0</Paragraphs>
  <TotalTime>4</TotalTime>
  <ScaleCrop>false</ScaleCrop>
  <LinksUpToDate>false</LinksUpToDate>
  <CharactersWithSpaces>3675</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2022-12-08T01:38:00Z</dcterms:created>
  <dc:creator>Administrator</dc:creator>
  <cp:lastModifiedBy>Administrator</cp:lastModifiedBy>
  <dcterms:modified xsi:type="dcterms:W3CDTF">2024-10-28T00:27:02Z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y fmtid="{D5CDD505-2E9C-101B-9397-08002B2CF9AE}" pid="3" name="ICV">
    <vt:lpwstr>C164F4D31217425A93AED9EB84BB2A74</vt:lpwstr>
  </property>
</Properties>
</file>